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代理机构</w:t>
      </w:r>
      <w:r>
        <w:rPr>
          <w:color w:val="auto"/>
        </w:rPr>
        <w:t>报名信息登记表</w:t>
      </w:r>
    </w:p>
    <w:p>
      <w:pPr>
        <w:pStyle w:val="3"/>
        <w:rPr>
          <w:color w:val="auto"/>
          <w:sz w:val="20"/>
        </w:rPr>
      </w:pPr>
    </w:p>
    <w:p>
      <w:pPr>
        <w:pStyle w:val="3"/>
        <w:spacing w:before="8" w:after="1"/>
        <w:rPr>
          <w:color w:val="auto"/>
          <w:sz w:val="15"/>
        </w:rPr>
      </w:pPr>
    </w:p>
    <w:tbl>
      <w:tblPr>
        <w:tblStyle w:val="9"/>
        <w:tblW w:w="8319" w:type="dxa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190"/>
        <w:gridCol w:w="5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07" w:type="dxa"/>
            <w:gridSpan w:val="2"/>
            <w:vAlign w:val="top"/>
          </w:tcPr>
          <w:p>
            <w:pPr>
              <w:pStyle w:val="15"/>
              <w:spacing w:before="3"/>
              <w:jc w:val="both"/>
              <w:rPr>
                <w:color w:val="auto"/>
                <w:sz w:val="22"/>
              </w:rPr>
            </w:pPr>
          </w:p>
          <w:p>
            <w:pPr>
              <w:pStyle w:val="15"/>
              <w:ind w:left="874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项目名称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jc w:val="both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7" w:type="dxa"/>
            <w:gridSpan w:val="2"/>
            <w:vAlign w:val="top"/>
          </w:tcPr>
          <w:p>
            <w:pPr>
              <w:pStyle w:val="15"/>
              <w:spacing w:before="4"/>
              <w:jc w:val="both"/>
              <w:rPr>
                <w:color w:val="auto"/>
                <w:sz w:val="19"/>
              </w:rPr>
            </w:pPr>
          </w:p>
          <w:p>
            <w:pPr>
              <w:pStyle w:val="15"/>
              <w:ind w:left="874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报名时间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jc w:val="both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517" w:type="dxa"/>
            <w:vMerge w:val="restart"/>
            <w:vAlign w:val="top"/>
          </w:tcPr>
          <w:p>
            <w:pPr>
              <w:pStyle w:val="15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spacing w:before="3"/>
              <w:jc w:val="both"/>
              <w:rPr>
                <w:color w:val="auto"/>
                <w:sz w:val="22"/>
              </w:rPr>
            </w:pPr>
          </w:p>
          <w:p>
            <w:pPr>
              <w:pStyle w:val="15"/>
              <w:ind w:left="27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单位信息</w:t>
            </w:r>
          </w:p>
        </w:tc>
        <w:tc>
          <w:tcPr>
            <w:tcW w:w="1190" w:type="dxa"/>
            <w:vAlign w:val="top"/>
          </w:tcPr>
          <w:p>
            <w:pPr>
              <w:pStyle w:val="15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spacing w:before="11"/>
              <w:jc w:val="both"/>
              <w:rPr>
                <w:color w:val="auto"/>
                <w:sz w:val="22"/>
              </w:rPr>
            </w:pPr>
          </w:p>
          <w:p>
            <w:pPr>
              <w:pStyle w:val="15"/>
              <w:ind w:left="95" w:right="8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单位名称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jc w:val="both"/>
              <w:rPr>
                <w:color w:val="auto"/>
                <w:sz w:val="18"/>
              </w:rPr>
            </w:pPr>
          </w:p>
          <w:p>
            <w:pPr>
              <w:pStyle w:val="15"/>
              <w:jc w:val="both"/>
              <w:rPr>
                <w:color w:val="auto"/>
                <w:sz w:val="18"/>
              </w:rPr>
            </w:pPr>
          </w:p>
          <w:p>
            <w:pPr>
              <w:pStyle w:val="15"/>
              <w:spacing w:before="10"/>
              <w:jc w:val="both"/>
              <w:rPr>
                <w:color w:val="auto"/>
                <w:sz w:val="13"/>
              </w:rPr>
            </w:pPr>
          </w:p>
          <w:p>
            <w:pPr>
              <w:pStyle w:val="15"/>
              <w:spacing w:before="1" w:line="324" w:lineRule="auto"/>
              <w:ind w:left="11" w:right="1"/>
              <w:jc w:val="both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17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color w:val="auto"/>
                <w:sz w:val="2"/>
                <w:szCs w:val="2"/>
              </w:rPr>
            </w:pPr>
            <w:bookmarkStart w:id="0" w:name="_GoBack"/>
          </w:p>
        </w:tc>
        <w:tc>
          <w:tcPr>
            <w:tcW w:w="1190" w:type="dxa"/>
            <w:vAlign w:val="top"/>
          </w:tcPr>
          <w:p>
            <w:pPr>
              <w:pStyle w:val="15"/>
              <w:spacing w:before="149"/>
              <w:ind w:left="95" w:right="8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联系方式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spacing w:before="149"/>
              <w:ind w:firstLine="240" w:firstLineChars="100"/>
              <w:jc w:val="both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固定电话：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17" w:type="dxa"/>
            <w:vMerge w:val="restart"/>
            <w:vAlign w:val="top"/>
          </w:tcPr>
          <w:p>
            <w:pPr>
              <w:pStyle w:val="15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spacing w:before="4"/>
              <w:jc w:val="both"/>
              <w:rPr>
                <w:color w:val="auto"/>
                <w:sz w:val="19"/>
              </w:rPr>
            </w:pPr>
          </w:p>
          <w:p>
            <w:pPr>
              <w:pStyle w:val="15"/>
              <w:ind w:left="15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经办人信息</w:t>
            </w:r>
          </w:p>
        </w:tc>
        <w:tc>
          <w:tcPr>
            <w:tcW w:w="1190" w:type="dxa"/>
            <w:vAlign w:val="top"/>
          </w:tcPr>
          <w:p>
            <w:pPr>
              <w:pStyle w:val="15"/>
              <w:spacing w:before="1"/>
              <w:jc w:val="both"/>
              <w:rPr>
                <w:color w:val="auto"/>
                <w:sz w:val="24"/>
              </w:rPr>
            </w:pPr>
          </w:p>
          <w:p>
            <w:pPr>
              <w:pStyle w:val="15"/>
              <w:ind w:left="95" w:right="8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jc w:val="both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15"/>
              <w:spacing w:before="10"/>
              <w:jc w:val="both"/>
              <w:rPr>
                <w:color w:val="auto"/>
                <w:sz w:val="21"/>
              </w:rPr>
            </w:pPr>
          </w:p>
          <w:p>
            <w:pPr>
              <w:pStyle w:val="15"/>
              <w:ind w:left="95" w:right="8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手机号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jc w:val="both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15"/>
              <w:spacing w:before="10"/>
              <w:jc w:val="both"/>
              <w:rPr>
                <w:color w:val="auto"/>
                <w:sz w:val="21"/>
              </w:rPr>
            </w:pPr>
          </w:p>
          <w:p>
            <w:pPr>
              <w:pStyle w:val="15"/>
              <w:ind w:left="95" w:right="8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电子邮件</w:t>
            </w:r>
          </w:p>
        </w:tc>
        <w:tc>
          <w:tcPr>
            <w:tcW w:w="5612" w:type="dxa"/>
            <w:vAlign w:val="top"/>
          </w:tcPr>
          <w:p>
            <w:pPr>
              <w:pStyle w:val="15"/>
              <w:jc w:val="both"/>
              <w:rPr>
                <w:rFonts w:asci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19" w:type="dxa"/>
            <w:gridSpan w:val="3"/>
            <w:vAlign w:val="top"/>
          </w:tcPr>
          <w:p>
            <w:pPr>
              <w:pStyle w:val="15"/>
              <w:spacing w:before="2"/>
              <w:jc w:val="both"/>
              <w:rPr>
                <w:color w:val="auto"/>
                <w:sz w:val="21"/>
              </w:rPr>
            </w:pPr>
          </w:p>
          <w:p>
            <w:pPr>
              <w:pStyle w:val="15"/>
              <w:ind w:left="12" w:firstLine="480" w:firstLineChars="20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备注：</w:t>
            </w:r>
          </w:p>
        </w:tc>
      </w:tr>
    </w:tbl>
    <w:p>
      <w:pPr>
        <w:pStyle w:val="3"/>
        <w:spacing w:line="358" w:lineRule="exact"/>
        <w:ind w:left="120"/>
        <w:rPr>
          <w:color w:val="auto"/>
        </w:rPr>
      </w:pPr>
    </w:p>
    <w:p>
      <w:pPr>
        <w:pStyle w:val="3"/>
        <w:spacing w:line="358" w:lineRule="exact"/>
        <w:ind w:left="120" w:firstLine="210" w:firstLineChars="100"/>
        <w:rPr>
          <w:color w:val="auto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310515</wp:posOffset>
                </wp:positionV>
                <wp:extent cx="3510915" cy="3566160"/>
                <wp:effectExtent l="1270" t="635" r="12065" b="14605"/>
                <wp:wrapTopAndBottom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3566160"/>
                          <a:chOff x="3338" y="490"/>
                          <a:chExt cx="5230" cy="4567"/>
                        </a:xfrm>
                        <a:effectLst/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3338" y="495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338" y="2767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3338" y="5052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4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856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972" y="3767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身份证（背面）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972" y="1490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身份证（正面）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9pt;margin-top:24.45pt;height:280.8pt;width:276.45pt;mso-position-horizontal-relative:page;mso-wrap-distance-bottom:0pt;mso-wrap-distance-top:0pt;z-index:-251657216;mso-width-relative:page;mso-height-relative:page;" coordorigin="3338,490" coordsize="5230,4567" o:gfxdata="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rj3RM2wAAAAoBAAAP&#10;AAAAAAAAAAEAIAAAACIAAABkcnMvZG93bnJldi54bWxQSwECFAAUAAAACACHTuJACE0/gmsDAADa&#10;EAAADgAAAAAAAAABACAAAAAqAQAAZHJzL2Uyb0RvYy54bWxQSwUGAAAAAAYABgBZAQAABwcAAAAA&#10;">
                <o:lock v:ext="edit" aspectratio="f"/>
                <v:line id="_x0000_s1026" o:spid="_x0000_s1026" o:spt="20" style="position:absolute;left:3338;top:495;height:0;width:523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2767;height:0;width:523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5052;height:0;width:523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43;top:490;height:4557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563;top:490;height:4557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972;top:3767;height:281;width:198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身份证（背面）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72;top:1490;height:281;width:1981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身份证（正面）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color w:val="auto"/>
        </w:rPr>
        <w:t>附：经办人身份证（正反面）复印件（身份证也可以单独一页）</w:t>
      </w:r>
    </w:p>
    <w:p>
      <w:pPr>
        <w:spacing w:after="0"/>
        <w:rPr>
          <w:color w:val="auto"/>
          <w:sz w:val="24"/>
        </w:rPr>
        <w:sectPr>
          <w:pgSz w:w="11910" w:h="16840"/>
          <w:pgMar w:top="1440" w:right="1480" w:bottom="280" w:left="1680" w:header="720" w:footer="720" w:gutter="0"/>
          <w:cols w:space="720" w:num="1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招标代理机构选择评分细则表</w:t>
      </w:r>
    </w:p>
    <w:tbl>
      <w:tblPr>
        <w:tblStyle w:val="9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720"/>
        <w:gridCol w:w="4860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评分因素及权重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分值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评分标准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48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投标人参照国家发改委计价格</w:t>
            </w:r>
            <w:r>
              <w:rPr>
                <w:rFonts w:ascii="仿宋_GB2312" w:hAnsi="仿宋_GB2312" w:eastAsia="仿宋_GB2312" w:cs="仿宋_GB2312"/>
                <w:szCs w:val="21"/>
              </w:rPr>
              <w:t>[2002]1980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号文件规定的标准下浮报价（最低下浮率为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投标报价计分方法：以下浮率最高者得分最高，每少下浮一个百分点扣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报价下浮超过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，则报价分值为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执业能力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486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机构从业人员（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人及以上得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</w:t>
            </w:r>
            <w:r>
              <w:rPr>
                <w:rFonts w:ascii="仿宋_GB2312" w:hAnsi="仿宋_GB2312" w:eastAsia="仿宋_GB2312" w:cs="仿宋_GB2312"/>
                <w:szCs w:val="21"/>
              </w:rPr>
              <w:t>5-9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人得</w:t>
            </w:r>
            <w:r>
              <w:rPr>
                <w:rFonts w:ascii="仿宋_GB2312" w:hAnsi="仿宋_GB2312" w:eastAsia="仿宋_GB2312" w:cs="仿宋_GB2312"/>
                <w:szCs w:val="21"/>
              </w:rPr>
              <w:t>5-9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人以下不得分；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项目负责人配备（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分）：项目负责人具有四川省政府采购代理机构专职人员培训证明得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分；具有本科或以上学历得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分、专科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废标率（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分）：以近一年投标人代理项目废标率为准（时间以投标截止日为准），废标率小于等于</w:t>
            </w:r>
            <w:r>
              <w:rPr>
                <w:rFonts w:ascii="仿宋_GB2312" w:hAnsi="仿宋_GB2312" w:eastAsia="仿宋_GB2312" w:cs="仿宋_GB2312"/>
                <w:szCs w:val="21"/>
              </w:rPr>
              <w:t>10%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得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  <w:r>
              <w:rPr>
                <w:rFonts w:ascii="仿宋_GB2312" w:hAnsi="仿宋_GB2312" w:eastAsia="仿宋_GB2312" w:cs="仿宋_GB2312"/>
                <w:szCs w:val="21"/>
              </w:rPr>
              <w:t>10%-20%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之间得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分；大于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得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分。（提供证明材料或承诺函）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代理业绩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48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以近一年内代理业绩为准（时间以投标截止日为准），每提供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个得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分。（提供中标通知书或合同等证明材料）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招标代理方案</w:t>
            </w:r>
            <w:r>
              <w:rPr>
                <w:rFonts w:ascii="仿宋_GB2312" w:hAnsi="仿宋_GB2312" w:eastAsia="仿宋_GB2312" w:cs="仿宋_GB2312"/>
                <w:szCs w:val="21"/>
              </w:rPr>
              <w:t>25%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48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根据投标人着重从如何保证招投标的合法合规、公平公正，如何保证招投标工作质量和工作水平方面编制招标代理服务方案。包括但不仅限于如下内容：需求论证组织；招标文件制作质量；招投标程序合法合规；开标过程公平公正；防范围标、串标行为；质疑投诉防范和处理；招标资料收集、保存、移交、协助电子平台项目生成等。</w:t>
            </w: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对方案进行横向比较综合评分，优秀得</w:t>
            </w: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分，良好得</w:t>
            </w:r>
            <w:r>
              <w:rPr>
                <w:rFonts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分，一般得</w:t>
            </w: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分，差得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分，未提供得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投标文件规范性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860" w:type="dxa"/>
            <w:vAlign w:val="center"/>
          </w:tcPr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投标文件制作规范，没有细微偏差情形的得满分；有一项细微偏差扣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分；直到该项分值扣完为止。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/>
    </w:p>
    <w:p>
      <w:pPr>
        <w:spacing w:line="579" w:lineRule="exact"/>
        <w:ind w:firstLine="420" w:firstLineChars="200"/>
      </w:pPr>
      <w:r>
        <w:rPr>
          <w:rFonts w:hint="eastAsia" w:ascii="仿宋_GB2312" w:hAnsi="仿宋_GB2312" w:eastAsia="仿宋_GB2312" w:cs="仿宋_GB2312"/>
          <w:szCs w:val="21"/>
        </w:rPr>
        <w:t>备注：当年新成立的公司，不提供代理业绩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楷体_GB2312" w:eastAsia="楷体_GB2312"/>
        <w:sz w:val="28"/>
        <w:szCs w:val="28"/>
      </w:rPr>
    </w:pPr>
    <w:r>
      <w:rPr>
        <w:rStyle w:val="8"/>
        <w:rFonts w:ascii="楷体_GB2312" w:eastAsia="楷体_GB2312"/>
        <w:sz w:val="28"/>
        <w:szCs w:val="28"/>
      </w:rPr>
      <w:fldChar w:fldCharType="begin"/>
    </w:r>
    <w:r>
      <w:rPr>
        <w:rStyle w:val="8"/>
        <w:rFonts w:ascii="楷体_GB2312" w:eastAsia="楷体_GB2312"/>
        <w:sz w:val="28"/>
        <w:szCs w:val="28"/>
      </w:rPr>
      <w:instrText xml:space="preserve">PAGE  </w:instrText>
    </w:r>
    <w:r>
      <w:rPr>
        <w:rStyle w:val="8"/>
        <w:rFonts w:ascii="楷体_GB2312" w:eastAsia="楷体_GB2312"/>
        <w:sz w:val="28"/>
        <w:szCs w:val="28"/>
      </w:rPr>
      <w:fldChar w:fldCharType="separate"/>
    </w:r>
    <w:r>
      <w:rPr>
        <w:rStyle w:val="8"/>
        <w:rFonts w:ascii="楷体_GB2312" w:eastAsia="楷体_GB2312"/>
        <w:sz w:val="28"/>
        <w:szCs w:val="28"/>
      </w:rPr>
      <w:t>- 2 -</w:t>
    </w:r>
    <w:r>
      <w:rPr>
        <w:rStyle w:val="8"/>
        <w:rFonts w:ascii="楷体_GB2312" w:eastAsia="楷体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59A10"/>
    <w:multiLevelType w:val="singleLevel"/>
    <w:tmpl w:val="95459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02"/>
    <w:rsid w:val="00040BBE"/>
    <w:rsid w:val="00044708"/>
    <w:rsid w:val="000563B6"/>
    <w:rsid w:val="00073DDC"/>
    <w:rsid w:val="00104343"/>
    <w:rsid w:val="00107BF3"/>
    <w:rsid w:val="001A4A97"/>
    <w:rsid w:val="001E6736"/>
    <w:rsid w:val="00277CF9"/>
    <w:rsid w:val="00306A9B"/>
    <w:rsid w:val="0031512D"/>
    <w:rsid w:val="00334183"/>
    <w:rsid w:val="003663D6"/>
    <w:rsid w:val="003A3CBA"/>
    <w:rsid w:val="003C24C9"/>
    <w:rsid w:val="004073FD"/>
    <w:rsid w:val="0044226E"/>
    <w:rsid w:val="00442F7F"/>
    <w:rsid w:val="004B670E"/>
    <w:rsid w:val="004E134B"/>
    <w:rsid w:val="00511210"/>
    <w:rsid w:val="00544F32"/>
    <w:rsid w:val="005C2007"/>
    <w:rsid w:val="005C2398"/>
    <w:rsid w:val="005C510F"/>
    <w:rsid w:val="005E78B6"/>
    <w:rsid w:val="0063176B"/>
    <w:rsid w:val="006A3D92"/>
    <w:rsid w:val="006E5B09"/>
    <w:rsid w:val="006E7819"/>
    <w:rsid w:val="007048C3"/>
    <w:rsid w:val="00742C66"/>
    <w:rsid w:val="00794C53"/>
    <w:rsid w:val="007A6CE3"/>
    <w:rsid w:val="007B3805"/>
    <w:rsid w:val="00836615"/>
    <w:rsid w:val="00883A71"/>
    <w:rsid w:val="008A7DEC"/>
    <w:rsid w:val="008C38FA"/>
    <w:rsid w:val="008F542D"/>
    <w:rsid w:val="009158CA"/>
    <w:rsid w:val="009300AC"/>
    <w:rsid w:val="00992A7C"/>
    <w:rsid w:val="009E6C62"/>
    <w:rsid w:val="00A37A16"/>
    <w:rsid w:val="00A74002"/>
    <w:rsid w:val="00A80A17"/>
    <w:rsid w:val="00AE0A7B"/>
    <w:rsid w:val="00B132EC"/>
    <w:rsid w:val="00BF6218"/>
    <w:rsid w:val="00C24AD3"/>
    <w:rsid w:val="00C84B3D"/>
    <w:rsid w:val="00CA4C6F"/>
    <w:rsid w:val="00CB035D"/>
    <w:rsid w:val="00CC6782"/>
    <w:rsid w:val="00D077D5"/>
    <w:rsid w:val="00D16D4C"/>
    <w:rsid w:val="00D53C8C"/>
    <w:rsid w:val="00D810BB"/>
    <w:rsid w:val="00D954C1"/>
    <w:rsid w:val="00DB346D"/>
    <w:rsid w:val="00DF38B0"/>
    <w:rsid w:val="00E14BD4"/>
    <w:rsid w:val="00E63AEA"/>
    <w:rsid w:val="00E805DD"/>
    <w:rsid w:val="00E8516B"/>
    <w:rsid w:val="00EB4F41"/>
    <w:rsid w:val="00EE1968"/>
    <w:rsid w:val="00EF29CF"/>
    <w:rsid w:val="00EF5199"/>
    <w:rsid w:val="00EF58FC"/>
    <w:rsid w:val="00F259AF"/>
    <w:rsid w:val="00FE572E"/>
    <w:rsid w:val="00FE6382"/>
    <w:rsid w:val="06100D6E"/>
    <w:rsid w:val="06DD1700"/>
    <w:rsid w:val="06EB691D"/>
    <w:rsid w:val="085F2B2D"/>
    <w:rsid w:val="0AAB11B0"/>
    <w:rsid w:val="0C905E9B"/>
    <w:rsid w:val="0E46371D"/>
    <w:rsid w:val="103A720B"/>
    <w:rsid w:val="118E2BEC"/>
    <w:rsid w:val="14424263"/>
    <w:rsid w:val="1ED31B53"/>
    <w:rsid w:val="242126D3"/>
    <w:rsid w:val="27557177"/>
    <w:rsid w:val="276948A3"/>
    <w:rsid w:val="2F0544E9"/>
    <w:rsid w:val="33707D37"/>
    <w:rsid w:val="355B4259"/>
    <w:rsid w:val="36375ED2"/>
    <w:rsid w:val="364D1051"/>
    <w:rsid w:val="37FC29BB"/>
    <w:rsid w:val="3EE80977"/>
    <w:rsid w:val="4A967E48"/>
    <w:rsid w:val="4B3841BF"/>
    <w:rsid w:val="567A16C7"/>
    <w:rsid w:val="56AE180F"/>
    <w:rsid w:val="592B3C38"/>
    <w:rsid w:val="59D41A6A"/>
    <w:rsid w:val="5C641D6D"/>
    <w:rsid w:val="5EFF3B61"/>
    <w:rsid w:val="5F1E7C70"/>
    <w:rsid w:val="62B61B5B"/>
    <w:rsid w:val="63174F30"/>
    <w:rsid w:val="63FA5ADD"/>
    <w:rsid w:val="68257A60"/>
    <w:rsid w:val="69D65A5B"/>
    <w:rsid w:val="6EDD3849"/>
    <w:rsid w:val="71667D3F"/>
    <w:rsid w:val="72625B33"/>
    <w:rsid w:val="731A4C01"/>
    <w:rsid w:val="742952EE"/>
    <w:rsid w:val="758A07C4"/>
    <w:rsid w:val="75FD7243"/>
    <w:rsid w:val="76073391"/>
    <w:rsid w:val="76407B2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440" w:lineRule="atLeast"/>
      <w:jc w:val="center"/>
      <w:outlineLvl w:val="0"/>
    </w:pPr>
    <w:rPr>
      <w:rFonts w:ascii="宋体" w:hAnsi="宋体" w:cs="Calibri"/>
      <w:b/>
      <w:bCs/>
      <w:color w:val="000000"/>
      <w:kern w:val="44"/>
      <w:sz w:val="36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2"/>
    <w:semiHidden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Body Text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471</Words>
  <Characters>2691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2021-04-22T08:58:00Z</dcterms:created>
  <dc:creator>Administrator</dc:creator>
  <cp:lastModifiedBy>solar.lu</cp:lastModifiedBy>
  <cp:lastPrinted>2021-04-25T07:12:00Z</cp:lastPrinted>
  <dcterms:modified xsi:type="dcterms:W3CDTF">2021-04-26T02:11:49Z</dcterms:modified>
  <dc:title>乐山市农业农村局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5A9E6114B78246DCB63E1DD68DF085A8</vt:lpwstr>
  </property>
</Properties>
</file>