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招标代理机构选择评分细则表</w:t>
      </w:r>
    </w:p>
    <w:bookmarkEnd w:id="0"/>
    <w:tbl>
      <w:tblPr>
        <w:tblStyle w:val="9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720"/>
        <w:gridCol w:w="4860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评分因素及权重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分值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评分标准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30%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30</w:t>
            </w:r>
          </w:p>
        </w:tc>
        <w:tc>
          <w:tcPr>
            <w:tcW w:w="48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投标人参照国家发改委计价格</w:t>
            </w:r>
            <w:r>
              <w:rPr>
                <w:rFonts w:ascii="仿宋_GB2312" w:hAnsi="仿宋_GB2312" w:eastAsia="仿宋_GB2312" w:cs="仿宋_GB2312"/>
                <w:szCs w:val="21"/>
              </w:rPr>
              <w:t>[2002]1980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号文件规定的标准下浮报价（最低下浮率为</w:t>
            </w:r>
            <w:r>
              <w:rPr>
                <w:rFonts w:ascii="仿宋_GB2312" w:hAnsi="仿宋_GB2312" w:eastAsia="仿宋_GB2312" w:cs="仿宋_GB2312"/>
                <w:szCs w:val="21"/>
              </w:rPr>
              <w:t>20%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投标报价计分方法：以下浮率最高者得分最高，每少下浮一个百分点扣</w:t>
            </w: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报价下浮超过</w:t>
            </w:r>
            <w:r>
              <w:rPr>
                <w:rFonts w:ascii="仿宋_GB2312" w:hAnsi="仿宋_GB2312" w:eastAsia="仿宋_GB2312" w:cs="仿宋_GB2312"/>
                <w:szCs w:val="21"/>
              </w:rPr>
              <w:t>20%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，则报价分值为</w:t>
            </w:r>
            <w:r>
              <w:rPr>
                <w:rFonts w:ascii="仿宋_GB2312" w:hAnsi="仿宋_GB2312" w:eastAsia="仿宋_GB2312" w:cs="仿宋_GB2312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执业能力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25%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4860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机构从业人员（</w:t>
            </w: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分）：</w:t>
            </w: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人及以上得</w:t>
            </w: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</w:t>
            </w:r>
            <w:r>
              <w:rPr>
                <w:rFonts w:ascii="仿宋_GB2312" w:hAnsi="仿宋_GB2312" w:eastAsia="仿宋_GB2312" w:cs="仿宋_GB2312"/>
                <w:szCs w:val="21"/>
              </w:rPr>
              <w:t>5-9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人得</w:t>
            </w:r>
            <w:r>
              <w:rPr>
                <w:rFonts w:ascii="仿宋_GB2312" w:hAnsi="仿宋_GB2312" w:eastAsia="仿宋_GB2312" w:cs="仿宋_GB2312"/>
                <w:szCs w:val="21"/>
              </w:rPr>
              <w:t>5-9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</w:t>
            </w: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人以下不得分；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项目负责人配备（</w:t>
            </w: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分）：项目负责人具有四川省政府采购代理机构专职人员培训证明得</w:t>
            </w: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分；具有本科或以上学历得</w:t>
            </w: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分、专科</w:t>
            </w: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废标率（</w:t>
            </w: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分）：以近一年投标人代理项目废标率为准（时间以投标截止日为准），废标率小于等于</w:t>
            </w:r>
            <w:r>
              <w:rPr>
                <w:rFonts w:ascii="仿宋_GB2312" w:hAnsi="仿宋_GB2312" w:eastAsia="仿宋_GB2312" w:cs="仿宋_GB2312"/>
                <w:szCs w:val="21"/>
              </w:rPr>
              <w:t>10%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得</w:t>
            </w: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</w:t>
            </w:r>
            <w:r>
              <w:rPr>
                <w:rFonts w:ascii="仿宋_GB2312" w:hAnsi="仿宋_GB2312" w:eastAsia="仿宋_GB2312" w:cs="仿宋_GB2312"/>
                <w:szCs w:val="21"/>
              </w:rPr>
              <w:t>10%-20%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之间得</w:t>
            </w: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分；大于</w:t>
            </w:r>
            <w:r>
              <w:rPr>
                <w:rFonts w:ascii="仿宋_GB2312" w:hAnsi="仿宋_GB2312" w:eastAsia="仿宋_GB2312" w:cs="仿宋_GB2312"/>
                <w:szCs w:val="21"/>
              </w:rPr>
              <w:t>20%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得</w:t>
            </w: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分。（提供证明材料或承诺函）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代理业绩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15%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486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以近一年内代理业绩为准（时间以投标截止日为准），每提供</w:t>
            </w: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个得</w:t>
            </w: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分。（提供中标通知书或合同等证明材料）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招标代理方案</w:t>
            </w:r>
            <w:r>
              <w:rPr>
                <w:rFonts w:ascii="仿宋_GB2312" w:hAnsi="仿宋_GB2312" w:eastAsia="仿宋_GB2312" w:cs="仿宋_GB2312"/>
                <w:szCs w:val="21"/>
              </w:rPr>
              <w:t>25%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486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根据投标人着重从如何保证招投标的合法合规、公平公正，如何保证招投标工作质量和工作水平方面编制招标代理服务方案。包括但不仅限于如下内容：需求论证组织；招标文件制作质量；招投标程序合法合规；开标过程公平公正；防范围标、串标行为；质疑投诉防范和处理；招标资料收集、保存、移交、协助电子平台项目生成等。</w:t>
            </w:r>
          </w:p>
          <w:p>
            <w:pPr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对方案进行横向比较综合评分，优秀得</w:t>
            </w:r>
            <w:r>
              <w:rPr>
                <w:rFonts w:ascii="仿宋_GB2312" w:hAnsi="仿宋_GB2312" w:eastAsia="仿宋_GB2312" w:cs="仿宋_GB2312"/>
                <w:szCs w:val="21"/>
              </w:rPr>
              <w:t>25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分，良好得</w:t>
            </w:r>
            <w:r>
              <w:rPr>
                <w:rFonts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分，一般得</w:t>
            </w:r>
            <w:r>
              <w:rPr>
                <w:rFonts w:ascii="仿宋_GB2312" w:hAnsi="仿宋_GB2312" w:eastAsia="仿宋_GB2312" w:cs="仿宋_GB2312"/>
                <w:szCs w:val="21"/>
              </w:rPr>
              <w:t>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分，差得</w:t>
            </w: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分，未提供得</w:t>
            </w:r>
            <w:r>
              <w:rPr>
                <w:rFonts w:ascii="仿宋_GB2312" w:hAnsi="仿宋_GB2312" w:eastAsia="仿宋_GB2312" w:cs="仿宋_GB2312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投标文件规范性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5%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4860" w:type="dxa"/>
            <w:vAlign w:val="center"/>
          </w:tcPr>
          <w:p>
            <w:pPr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投标文件制作规范，没有细微偏差情形的得满分；有一项细微偏差扣</w:t>
            </w: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分；直到该项分值扣完为止。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</w:tbl>
    <w:p>
      <w:pPr/>
    </w:p>
    <w:p>
      <w:pPr>
        <w:spacing w:line="579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21"/>
        </w:rPr>
        <w:t>备注：当年新成立的公司，不提供代理业绩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。</w:t>
      </w:r>
    </w:p>
    <w:p>
      <w:pPr>
        <w:spacing w:line="579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59A10"/>
    <w:multiLevelType w:val="singleLevel"/>
    <w:tmpl w:val="95459A10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40406"/>
    <w:rsid w:val="139478FE"/>
    <w:rsid w:val="16F26F29"/>
    <w:rsid w:val="194005AB"/>
    <w:rsid w:val="19B232C3"/>
    <w:rsid w:val="1A0F09A3"/>
    <w:rsid w:val="1A8074A3"/>
    <w:rsid w:val="2B8A7011"/>
    <w:rsid w:val="2D6D5AA6"/>
    <w:rsid w:val="311358BE"/>
    <w:rsid w:val="33185107"/>
    <w:rsid w:val="347C169C"/>
    <w:rsid w:val="34F040A7"/>
    <w:rsid w:val="352815D4"/>
    <w:rsid w:val="36256265"/>
    <w:rsid w:val="3CE408D0"/>
    <w:rsid w:val="3F382363"/>
    <w:rsid w:val="40DC645A"/>
    <w:rsid w:val="4991683E"/>
    <w:rsid w:val="4D8748BA"/>
    <w:rsid w:val="510D0438"/>
    <w:rsid w:val="68FD6F5A"/>
    <w:rsid w:val="6A317F39"/>
    <w:rsid w:val="6F1A0924"/>
    <w:rsid w:val="7029767A"/>
    <w:rsid w:val="72C94638"/>
    <w:rsid w:val="7B785C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440" w:lineRule="atLeast"/>
      <w:jc w:val="center"/>
      <w:outlineLvl w:val="0"/>
    </w:pPr>
    <w:rPr>
      <w:rFonts w:ascii="宋体" w:hAnsi="宋体" w:cs="Calibri"/>
      <w:b/>
      <w:bCs/>
      <w:color w:val="000000"/>
      <w:kern w:val="44"/>
      <w:sz w:val="36"/>
      <w:szCs w:val="44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qFormat/>
    <w:uiPriority w:val="99"/>
    <w:pPr>
      <w:spacing w:after="120"/>
    </w:pPr>
    <w:rPr>
      <w:rFonts w:ascii="Times New Roman" w:hAnsi="Times New Roman"/>
    </w:rPr>
  </w:style>
  <w:style w:type="paragraph" w:styleId="4">
    <w:name w:val="Plain Text"/>
    <w:basedOn w:val="1"/>
    <w:qFormat/>
    <w:uiPriority w:val="0"/>
    <w:rPr>
      <w:rFonts w:ascii="宋体" w:hAnsi="Courier New" w:eastAsia="宋体" w:cs="宋体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2021-09-30T04:29:00Z</dcterms:created>
  <dc:creator>Administrator</dc:creator>
  <cp:lastModifiedBy>solar.lu</cp:lastModifiedBy>
  <cp:lastPrinted>2021-10-11T06:05:00Z</cp:lastPrinted>
  <dcterms:modified xsi:type="dcterms:W3CDTF">2021-10-11T07:50:10Z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