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44"/>
          <w:szCs w:val="44"/>
          <w:highlight w:val="none"/>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乐山市农业农村局长江“十年禁渔”</w:t>
      </w: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生物多样性和水产种质资源保护</w:t>
      </w: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sz w:val="48"/>
          <w:szCs w:val="48"/>
          <w:highlight w:val="none"/>
        </w:rPr>
      </w:pPr>
      <w:r>
        <w:rPr>
          <w:rFonts w:hint="eastAsia" w:ascii="方正小标宋_GBK" w:hAnsi="方正小标宋_GBK" w:eastAsia="方正小标宋_GBK" w:cs="方正小标宋_GBK"/>
          <w:b w:val="0"/>
          <w:bCs w:val="0"/>
          <w:sz w:val="48"/>
          <w:szCs w:val="48"/>
          <w:lang w:val="en-US" w:eastAsia="zh-CN"/>
        </w:rPr>
        <w:t>宣传项目</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44"/>
          <w:szCs w:val="44"/>
          <w:highlight w:val="none"/>
        </w:rPr>
      </w:pPr>
      <w:r>
        <w:rPr>
          <w:rFonts w:hint="eastAsia" w:ascii="仿宋_GB2312" w:hAnsi="仿宋_GB2312" w:eastAsia="仿宋_GB2312" w:cs="仿宋_GB2312"/>
          <w:sz w:val="44"/>
          <w:szCs w:val="44"/>
          <w:highlight w:val="none"/>
          <w:lang w:eastAsia="zh-CN"/>
        </w:rPr>
        <w:t>竞争性磋商文件</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44"/>
          <w:szCs w:val="44"/>
          <w:highlight w:val="none"/>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采购人：</w:t>
      </w:r>
      <w:r>
        <w:rPr>
          <w:rFonts w:hint="eastAsia" w:ascii="仿宋_GB2312" w:hAnsi="仿宋_GB2312" w:eastAsia="仿宋_GB2312" w:cs="仿宋_GB2312"/>
          <w:sz w:val="28"/>
          <w:szCs w:val="28"/>
          <w:highlight w:val="none"/>
          <w:lang w:eastAsia="zh-CN"/>
        </w:rPr>
        <w:t>乐山市农业农村局</w:t>
      </w: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月</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_GB2312" w:hAnsi="仿宋_GB2312" w:eastAsia="仿宋_GB2312" w:cs="仿宋_GB2312"/>
          <w:kern w:val="2"/>
          <w:sz w:val="21"/>
          <w:szCs w:val="24"/>
          <w:highlight w:val="none"/>
          <w:lang w:val="en-US" w:eastAsia="zh-CN" w:bidi="ar-SA"/>
        </w:rPr>
        <w:sectPr>
          <w:footerReference r:id="rId5" w:type="first"/>
          <w:headerReference r:id="rId3" w:type="default"/>
          <w:footerReference r:id="rId4" w:type="default"/>
          <w:pgSz w:w="11906" w:h="16838"/>
          <w:pgMar w:top="1440" w:right="1797" w:bottom="1440" w:left="1797" w:header="851" w:footer="992" w:gutter="0"/>
          <w:cols w:space="425" w:num="1"/>
          <w:titlePg/>
          <w:docGrid w:type="lines" w:linePitch="312" w:charSpace="0"/>
        </w:sectPr>
      </w:pPr>
    </w:p>
    <w:sdt>
      <w:sdtPr>
        <w:rPr>
          <w:rFonts w:hint="eastAsia" w:ascii="仿宋_GB2312" w:hAnsi="仿宋_GB2312" w:eastAsia="仿宋_GB2312" w:cs="仿宋_GB2312"/>
          <w:b/>
          <w:bCs/>
          <w:i w:val="0"/>
          <w:iCs w:val="0"/>
          <w:kern w:val="2"/>
          <w:sz w:val="24"/>
          <w:szCs w:val="32"/>
          <w:highlight w:val="none"/>
          <w:lang w:val="en-US" w:eastAsia="zh-CN" w:bidi="ar-SA"/>
        </w:rPr>
        <w:id w:val="147481528"/>
        <w15:color w:val="DBDBDB"/>
        <w:docPartObj>
          <w:docPartGallery w:val="Table of Contents"/>
          <w:docPartUnique/>
        </w:docPartObj>
      </w:sdtPr>
      <w:sdtEndPr>
        <w:rPr>
          <w:rFonts w:hint="eastAsia" w:ascii="仿宋_GB2312" w:hAnsi="仿宋_GB2312" w:eastAsia="仿宋_GB2312" w:cs="仿宋_GB2312"/>
          <w:b/>
          <w:bCs/>
          <w:i w:val="0"/>
          <w:iCs w:val="0"/>
          <w:kern w:val="2"/>
          <w:sz w:val="21"/>
          <w:szCs w:val="44"/>
          <w:highlight w:val="none"/>
          <w:lang w:val="en-US" w:eastAsia="zh-CN" w:bidi="ar-SA"/>
        </w:rPr>
      </w:sdtEndPr>
      <w:sdtContent>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_GB2312" w:hAnsi="仿宋_GB2312" w:eastAsia="仿宋_GB2312" w:cs="仿宋_GB2312"/>
              <w:b/>
              <w:bCs/>
              <w:i w:val="0"/>
              <w:iCs w:val="0"/>
              <w:sz w:val="36"/>
              <w:szCs w:val="36"/>
              <w:highlight w:val="none"/>
            </w:rPr>
          </w:pPr>
          <w:r>
            <w:rPr>
              <w:rFonts w:hint="eastAsia" w:ascii="仿宋_GB2312" w:hAnsi="仿宋_GB2312" w:eastAsia="仿宋_GB2312" w:cs="仿宋_GB2312"/>
              <w:b/>
              <w:bCs/>
              <w:i w:val="0"/>
              <w:iCs w:val="0"/>
              <w:sz w:val="36"/>
              <w:szCs w:val="36"/>
              <w:highlight w:val="none"/>
            </w:rPr>
            <w:t>目</w:t>
          </w:r>
          <w:r>
            <w:rPr>
              <w:rFonts w:hint="eastAsia" w:ascii="仿宋_GB2312" w:hAnsi="仿宋_GB2312" w:eastAsia="仿宋_GB2312" w:cs="仿宋_GB2312"/>
              <w:b/>
              <w:bCs/>
              <w:i w:val="0"/>
              <w:iCs w:val="0"/>
              <w:sz w:val="36"/>
              <w:szCs w:val="36"/>
              <w:highlight w:val="none"/>
              <w:lang w:val="en-US" w:eastAsia="zh-CN"/>
            </w:rPr>
            <w:t xml:space="preserve">  </w:t>
          </w:r>
          <w:r>
            <w:rPr>
              <w:rFonts w:hint="eastAsia" w:ascii="仿宋_GB2312" w:hAnsi="仿宋_GB2312" w:eastAsia="仿宋_GB2312" w:cs="仿宋_GB2312"/>
              <w:b/>
              <w:bCs/>
              <w:i w:val="0"/>
              <w:iCs w:val="0"/>
              <w:sz w:val="36"/>
              <w:szCs w:val="36"/>
              <w:highlight w:val="none"/>
            </w:rPr>
            <w:t>录</w:t>
          </w:r>
        </w:p>
        <w:p>
          <w:pPr>
            <w:pStyle w:val="16"/>
            <w:keepNext w:val="0"/>
            <w:keepLines w:val="0"/>
            <w:pageBreakBefore w:val="0"/>
            <w:tabs>
              <w:tab w:val="right" w:leader="dot" w:pos="8312"/>
            </w:tabs>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TOC \o "1-1" \h \u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_Toc11984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 xml:space="preserve">第一章 </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邀请</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_Toc11984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end"/>
          </w:r>
        </w:p>
        <w:p>
          <w:pPr>
            <w:pStyle w:val="16"/>
            <w:keepNext w:val="0"/>
            <w:keepLines w:val="0"/>
            <w:pageBreakBefore w:val="0"/>
            <w:tabs>
              <w:tab w:val="right" w:leader="dot" w:pos="8312"/>
            </w:tabs>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_Toc25378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 xml:space="preserve">第二章 </w:t>
          </w:r>
          <w:r>
            <w:rPr>
              <w:rFonts w:hint="eastAsia" w:ascii="仿宋_GB2312" w:hAnsi="仿宋_GB2312" w:eastAsia="仿宋_GB2312" w:cs="仿宋_GB2312"/>
              <w:sz w:val="28"/>
              <w:szCs w:val="28"/>
              <w:highlight w:val="none"/>
              <w:lang w:val="en-US" w:eastAsia="zh-CN"/>
            </w:rPr>
            <w:t>供应商</w:t>
          </w:r>
          <w:r>
            <w:rPr>
              <w:rFonts w:hint="eastAsia" w:ascii="仿宋_GB2312" w:hAnsi="仿宋_GB2312" w:eastAsia="仿宋_GB2312" w:cs="仿宋_GB2312"/>
              <w:sz w:val="28"/>
              <w:szCs w:val="28"/>
              <w:highlight w:val="none"/>
            </w:rPr>
            <w:t>须知</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_Toc25378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end"/>
          </w:r>
        </w:p>
        <w:p>
          <w:pPr>
            <w:pStyle w:val="16"/>
            <w:keepNext w:val="0"/>
            <w:keepLines w:val="0"/>
            <w:pageBreakBefore w:val="0"/>
            <w:tabs>
              <w:tab w:val="right" w:leader="dot" w:pos="8312"/>
            </w:tabs>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_Toc12908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 xml:space="preserve">第三章 </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程序</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_Toc12908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9</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end"/>
          </w:r>
        </w:p>
        <w:p>
          <w:pPr>
            <w:pStyle w:val="16"/>
            <w:keepNext w:val="0"/>
            <w:keepLines w:val="0"/>
            <w:pageBreakBefore w:val="0"/>
            <w:tabs>
              <w:tab w:val="right" w:leader="dot" w:pos="8312"/>
            </w:tabs>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_Toc15356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第四章 磋商纪律和注意事项</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_Toc15356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13</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end"/>
          </w:r>
        </w:p>
        <w:p>
          <w:pPr>
            <w:pStyle w:val="16"/>
            <w:keepNext w:val="0"/>
            <w:keepLines w:val="0"/>
            <w:pageBreakBefore w:val="0"/>
            <w:tabs>
              <w:tab w:val="right" w:leader="dot" w:pos="8312"/>
            </w:tabs>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_Toc17527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第五章 响应文件格式</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_Toc17527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14</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end"/>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highlight w:val="none"/>
              <w:lang w:val="en-US" w:eastAsia="zh-CN"/>
            </w:rPr>
            <w:sectPr>
              <w:footerReference r:id="rId7" w:type="first"/>
              <w:footerReference r:id="rId6" w:type="default"/>
              <w:pgSz w:w="11906" w:h="16838"/>
              <w:pgMar w:top="1440" w:right="1797" w:bottom="1440" w:left="1797" w:header="851" w:footer="992" w:gutter="0"/>
              <w:pgNumType w:fmt="decimal" w:start="1"/>
              <w:cols w:space="425" w:num="1"/>
              <w:titlePg/>
              <w:docGrid w:type="lines" w:linePitch="312" w:charSpace="0"/>
            </w:sectPr>
          </w:pPr>
        </w:p>
      </w:sdtContent>
    </w:sdt>
    <w:p>
      <w:pPr>
        <w:pStyle w:val="5"/>
        <w:keepNext w:val="0"/>
        <w:keepLines w:val="0"/>
        <w:pageBreakBefore w:val="0"/>
        <w:kinsoku/>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highlight w:val="none"/>
        </w:rPr>
      </w:pPr>
      <w:bookmarkStart w:id="0" w:name="_Toc5472"/>
      <w:bookmarkStart w:id="1" w:name="_Toc3773"/>
      <w:r>
        <w:rPr>
          <w:rFonts w:hint="eastAsia" w:ascii="仿宋_GB2312" w:hAnsi="仿宋_GB2312" w:eastAsia="仿宋_GB2312" w:cs="仿宋_GB2312"/>
          <w:highlight w:val="none"/>
          <w:lang w:val="en-US" w:eastAsia="zh-CN"/>
        </w:rPr>
        <w:t xml:space="preserve">  </w:t>
      </w:r>
      <w:bookmarkStart w:id="2" w:name="_Toc11984"/>
      <w:r>
        <w:rPr>
          <w:rFonts w:hint="eastAsia" w:hAnsi="仿宋_GB2312" w:cs="仿宋_GB2312"/>
          <w:highlight w:val="none"/>
          <w:lang w:eastAsia="zh-CN"/>
        </w:rPr>
        <w:t>磋商</w:t>
      </w:r>
      <w:r>
        <w:rPr>
          <w:rFonts w:hint="eastAsia" w:ascii="仿宋_GB2312" w:hAnsi="仿宋_GB2312" w:eastAsia="仿宋_GB2312" w:cs="仿宋_GB2312"/>
          <w:highlight w:val="none"/>
        </w:rPr>
        <w:t>邀请</w:t>
      </w:r>
      <w:bookmarkEnd w:id="0"/>
      <w:bookmarkEnd w:id="1"/>
      <w:bookmarkEnd w:id="2"/>
    </w:p>
    <w:p>
      <w:pPr>
        <w:pStyle w:val="3"/>
        <w:keepNext w:val="0"/>
        <w:keepLines w:val="0"/>
        <w:pageBreakBefore w:val="0"/>
        <w:numPr>
          <w:ilvl w:val="0"/>
          <w:numId w:val="0"/>
        </w:numPr>
        <w:kinsoku/>
        <w:overflowPunct/>
        <w:topLinePunct w:val="0"/>
        <w:autoSpaceDE/>
        <w:autoSpaceDN/>
        <w:bidi w:val="0"/>
        <w:adjustRightInd/>
        <w:snapToGrid/>
        <w:spacing w:after="0" w:line="360" w:lineRule="auto"/>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w:t>
      </w:r>
      <w:r>
        <w:rPr>
          <w:rFonts w:hint="eastAsia" w:ascii="仿宋_GB2312" w:hAnsi="仿宋_GB2312" w:eastAsia="仿宋_GB2312" w:cs="仿宋_GB2312"/>
          <w:sz w:val="28"/>
          <w:szCs w:val="28"/>
          <w:highlight w:val="none"/>
          <w:lang w:eastAsia="zh-CN"/>
        </w:rPr>
        <w:t>乐山市农业农村局</w:t>
      </w:r>
      <w:r>
        <w:rPr>
          <w:rFonts w:hint="eastAsia" w:ascii="仿宋_GB2312" w:hAnsi="仿宋_GB2312" w:eastAsia="仿宋_GB2312" w:cs="仿宋_GB2312"/>
          <w:sz w:val="28"/>
          <w:szCs w:val="28"/>
          <w:highlight w:val="none"/>
        </w:rPr>
        <w:t>研究决定，拟通过竞争性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方式择优选择</w:t>
      </w:r>
      <w:r>
        <w:rPr>
          <w:rFonts w:hint="eastAsia" w:ascii="仿宋_GB2312" w:hAnsi="仿宋_GB2312" w:eastAsia="仿宋_GB2312" w:cs="仿宋_GB2312"/>
          <w:sz w:val="28"/>
          <w:szCs w:val="28"/>
          <w:highlight w:val="none"/>
          <w:lang w:eastAsia="zh-CN"/>
        </w:rPr>
        <w:t>成交单位</w:t>
      </w:r>
      <w:r>
        <w:rPr>
          <w:rFonts w:hint="eastAsia" w:ascii="仿宋_GB2312" w:hAnsi="仿宋_GB2312" w:eastAsia="仿宋_GB2312" w:cs="仿宋_GB2312"/>
          <w:sz w:val="28"/>
          <w:szCs w:val="28"/>
          <w:highlight w:val="none"/>
        </w:rPr>
        <w:t>完成乐山市农业农村局</w:t>
      </w:r>
      <w:r>
        <w:rPr>
          <w:rFonts w:hint="eastAsia" w:ascii="仿宋_GB2312" w:hAnsi="仿宋_GB2312" w:eastAsia="仿宋_GB2312" w:cs="仿宋_GB2312"/>
          <w:sz w:val="28"/>
          <w:szCs w:val="28"/>
          <w:highlight w:val="none"/>
          <w:lang w:val="en-US" w:eastAsia="zh-CN"/>
        </w:rPr>
        <w:t>长江“十年禁渔”生物多样性和水产种质资源保护宣传</w:t>
      </w:r>
      <w:r>
        <w:rPr>
          <w:rFonts w:hint="eastAsia" w:ascii="仿宋_GB2312" w:hAnsi="仿宋_GB2312" w:eastAsia="仿宋_GB2312" w:cs="仿宋_GB2312"/>
          <w:sz w:val="28"/>
          <w:szCs w:val="28"/>
          <w:highlight w:val="none"/>
        </w:rPr>
        <w:t>项目</w:t>
      </w:r>
      <w:r>
        <w:rPr>
          <w:rFonts w:hint="eastAsia" w:ascii="仿宋_GB2312" w:hAnsi="仿宋_GB2312" w:eastAsia="仿宋_GB2312" w:cs="仿宋_GB2312"/>
          <w:sz w:val="28"/>
          <w:szCs w:val="28"/>
          <w:highlight w:val="none"/>
          <w:lang w:eastAsia="zh-CN"/>
        </w:rPr>
        <w:t>，兹</w:t>
      </w:r>
      <w:r>
        <w:rPr>
          <w:rFonts w:hint="eastAsia" w:ascii="仿宋_GB2312" w:hAnsi="仿宋_GB2312" w:eastAsia="仿宋_GB2312" w:cs="仿宋_GB2312"/>
          <w:sz w:val="28"/>
          <w:szCs w:val="28"/>
          <w:highlight w:val="none"/>
        </w:rPr>
        <w:t>邀请</w:t>
      </w:r>
      <w:r>
        <w:rPr>
          <w:rFonts w:hint="eastAsia" w:ascii="仿宋_GB2312" w:hAnsi="仿宋_GB2312" w:eastAsia="仿宋_GB2312" w:cs="仿宋_GB2312"/>
          <w:sz w:val="28"/>
          <w:szCs w:val="28"/>
          <w:highlight w:val="none"/>
          <w:lang w:eastAsia="zh-CN"/>
        </w:rPr>
        <w:t>符合本次磋商采购要求的供应商参加磋商</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采购</w:t>
      </w:r>
      <w:r>
        <w:rPr>
          <w:rFonts w:hint="eastAsia" w:ascii="仿宋_GB2312" w:hAnsi="仿宋_GB2312" w:eastAsia="仿宋_GB2312" w:cs="仿宋_GB2312"/>
          <w:sz w:val="28"/>
          <w:szCs w:val="28"/>
          <w:highlight w:val="none"/>
        </w:rPr>
        <w:t>项目名称：乐山市农业农村局</w:t>
      </w:r>
      <w:r>
        <w:rPr>
          <w:rFonts w:hint="eastAsia" w:ascii="仿宋_GB2312" w:hAnsi="仿宋_GB2312" w:eastAsia="仿宋_GB2312" w:cs="仿宋_GB2312"/>
          <w:sz w:val="28"/>
          <w:szCs w:val="28"/>
          <w:highlight w:val="none"/>
          <w:lang w:val="en-US" w:eastAsia="zh-CN"/>
        </w:rPr>
        <w:t>长江“十年禁渔”生物多样性和水产种质资源保护宣传</w:t>
      </w:r>
      <w:r>
        <w:rPr>
          <w:rFonts w:hint="eastAsia" w:ascii="仿宋_GB2312" w:hAnsi="仿宋_GB2312" w:eastAsia="仿宋_GB2312" w:cs="仿宋_GB2312"/>
          <w:sz w:val="28"/>
          <w:szCs w:val="28"/>
          <w:highlight w:val="none"/>
        </w:rPr>
        <w:t>项目</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）采购人：</w:t>
      </w:r>
      <w:r>
        <w:rPr>
          <w:rFonts w:hint="eastAsia" w:ascii="仿宋_GB2312" w:hAnsi="仿宋_GB2312" w:eastAsia="仿宋_GB2312" w:cs="仿宋_GB2312"/>
          <w:sz w:val="28"/>
          <w:szCs w:val="28"/>
          <w:highlight w:val="none"/>
          <w:lang w:eastAsia="zh-CN"/>
        </w:rPr>
        <w:t>乐山市农业农村局。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二、项目</w:t>
      </w:r>
      <w:r>
        <w:rPr>
          <w:rFonts w:hint="eastAsia" w:ascii="仿宋_GB2312" w:hAnsi="仿宋_GB2312" w:eastAsia="仿宋_GB2312" w:cs="仿宋_GB2312"/>
          <w:sz w:val="28"/>
          <w:szCs w:val="28"/>
          <w:highlight w:val="none"/>
          <w:lang w:eastAsia="zh-CN"/>
        </w:rPr>
        <w:t>概况</w:t>
      </w:r>
    </w:p>
    <w:p>
      <w:pPr>
        <w:numPr>
          <w:ilvl w:val="0"/>
          <w:numId w:val="0"/>
        </w:num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乐山市</w:t>
      </w:r>
      <w:r>
        <w:rPr>
          <w:rFonts w:hint="eastAsia" w:ascii="仿宋_GB2312" w:hAnsi="仿宋_GB2312" w:eastAsia="仿宋_GB2312" w:cs="仿宋_GB2312"/>
          <w:sz w:val="28"/>
          <w:szCs w:val="28"/>
          <w:highlight w:val="none"/>
        </w:rPr>
        <w:t>农业农村局拟采购</w:t>
      </w:r>
      <w:r>
        <w:rPr>
          <w:rFonts w:hint="eastAsia" w:ascii="仿宋_GB2312" w:hAnsi="仿宋_GB2312" w:eastAsia="仿宋_GB2312" w:cs="仿宋_GB2312"/>
          <w:sz w:val="28"/>
          <w:szCs w:val="28"/>
          <w:highlight w:val="none"/>
          <w:lang w:val="en-US" w:eastAsia="zh-CN"/>
        </w:rPr>
        <w:t>长江“十年禁渔”生物多样性和水产种质资源保护宣传项目</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拍摄制作一部时长8分钟左右的《长江“十年禁渔”生物多样性、水产养殖种质资源保护和外来生物入侵防治》专题宣传片（包含前期撰稿、脚本、拍摄、剪辑、配音、字幕、配乐、合成等制作工作）并在省、市级媒体上播放。本项目为一个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三、资金情况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资金来源：</w:t>
      </w:r>
      <w:r>
        <w:rPr>
          <w:rFonts w:hint="eastAsia" w:ascii="仿宋_GB2312" w:hAnsi="仿宋_GB2312" w:eastAsia="仿宋_GB2312" w:cs="仿宋_GB2312"/>
          <w:sz w:val="28"/>
          <w:szCs w:val="28"/>
          <w:highlight w:val="none"/>
          <w:lang w:eastAsia="zh-CN"/>
        </w:rPr>
        <w:t>财政</w:t>
      </w:r>
      <w:r>
        <w:rPr>
          <w:rFonts w:hint="eastAsia" w:ascii="仿宋_GB2312" w:hAnsi="仿宋_GB2312" w:eastAsia="仿宋_GB2312" w:cs="仿宋_GB2312"/>
          <w:sz w:val="28"/>
          <w:szCs w:val="28"/>
          <w:highlight w:val="none"/>
        </w:rPr>
        <w:t>资金。</w:t>
      </w:r>
    </w:p>
    <w:p>
      <w:pPr>
        <w:pStyle w:val="2"/>
        <w:ind w:firstLine="560" w:firstLineChars="200"/>
        <w:rPr>
          <w:rFonts w:hint="default" w:eastAsia="仿宋_GB2312"/>
          <w:sz w:val="28"/>
          <w:szCs w:val="28"/>
          <w:highlight w:val="none"/>
          <w:lang w:val="en-US" w:eastAsia="zh-CN"/>
        </w:rPr>
      </w:pPr>
      <w:r>
        <w:rPr>
          <w:rFonts w:hint="eastAsia" w:ascii="仿宋_GB2312" w:hAnsi="仿宋_GB2312" w:eastAsia="仿宋_GB2312" w:cs="仿宋_GB2312"/>
          <w:sz w:val="28"/>
          <w:szCs w:val="28"/>
          <w:highlight w:val="none"/>
          <w:lang w:eastAsia="zh-CN"/>
        </w:rPr>
        <w:t>资金预算：</w:t>
      </w:r>
      <w:r>
        <w:rPr>
          <w:rFonts w:hint="eastAsia" w:ascii="仿宋_GB2312" w:hAnsi="仿宋_GB2312" w:eastAsia="仿宋_GB2312" w:cs="仿宋_GB2312"/>
          <w:sz w:val="28"/>
          <w:szCs w:val="28"/>
          <w:highlight w:val="none"/>
          <w:lang w:val="en-US" w:eastAsia="zh-CN"/>
        </w:rPr>
        <w:t>10万元。</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四、供应商邀请方式</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本磋商邀请在乐山市农业农村局网站上以公告形式发布。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五</w:t>
      </w:r>
      <w:r>
        <w:rPr>
          <w:rFonts w:hint="eastAsia" w:ascii="仿宋_GB2312" w:hAnsi="仿宋_GB2312" w:eastAsia="仿宋_GB2312" w:cs="仿宋_GB2312"/>
          <w:sz w:val="28"/>
          <w:szCs w:val="28"/>
          <w:highlight w:val="none"/>
        </w:rPr>
        <w:t>、申请供应商资格要求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四</w:t>
      </w:r>
      <w:r>
        <w:rPr>
          <w:rFonts w:hint="eastAsia" w:ascii="仿宋_GB2312" w:hAnsi="仿宋_GB2312" w:eastAsia="仿宋_GB2312" w:cs="仿宋_GB2312"/>
          <w:sz w:val="28"/>
          <w:szCs w:val="28"/>
          <w:highlight w:val="none"/>
        </w:rPr>
        <w:t>）具有依法缴纳税收和社会保障资金的良好记录；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五</w:t>
      </w:r>
      <w:r>
        <w:rPr>
          <w:rFonts w:hint="eastAsia" w:ascii="仿宋_GB2312" w:hAnsi="仿宋_GB2312" w:eastAsia="仿宋_GB2312" w:cs="仿宋_GB2312"/>
          <w:sz w:val="28"/>
          <w:szCs w:val="28"/>
          <w:highlight w:val="none"/>
        </w:rPr>
        <w:t>）参加此项采购活动前三年内，在经营活动中没有重大违法记录；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六</w:t>
      </w:r>
      <w:r>
        <w:rPr>
          <w:rFonts w:hint="eastAsia" w:ascii="仿宋_GB2312" w:hAnsi="仿宋_GB2312" w:eastAsia="仿宋_GB2312" w:cs="仿宋_GB2312"/>
          <w:sz w:val="28"/>
          <w:szCs w:val="28"/>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七</w:t>
      </w:r>
      <w:r>
        <w:rPr>
          <w:rFonts w:hint="eastAsia" w:ascii="仿宋_GB2312" w:hAnsi="仿宋_GB2312" w:eastAsia="仿宋_GB2312" w:cs="仿宋_GB2312"/>
          <w:sz w:val="28"/>
          <w:szCs w:val="28"/>
          <w:highlight w:val="none"/>
        </w:rPr>
        <w:t>）本项目不接受联合体参加。</w:t>
      </w:r>
      <w:r>
        <w:rPr>
          <w:rFonts w:hint="eastAsia" w:ascii="仿宋_GB2312" w:hAnsi="仿宋_GB2312" w:eastAsia="仿宋_GB2312" w:cs="仿宋_GB2312"/>
          <w:sz w:val="28"/>
          <w:szCs w:val="28"/>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六、报名时间、地址和联系方式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（一）时间：2023年1月5日-1月11日，上午9:00-12:00,下午14:00-17：00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（二）地址：</w:t>
      </w:r>
      <w:r>
        <w:rPr>
          <w:rFonts w:hint="eastAsia" w:ascii="仿宋_GB2312" w:hAnsi="仿宋_GB2312" w:eastAsia="仿宋_GB2312" w:cs="仿宋_GB2312"/>
          <w:sz w:val="28"/>
          <w:szCs w:val="28"/>
          <w:highlight w:val="none"/>
          <w:lang w:eastAsia="zh-CN"/>
        </w:rPr>
        <w:t>乐山</w:t>
      </w:r>
      <w:r>
        <w:rPr>
          <w:rFonts w:hint="eastAsia" w:ascii="仿宋_GB2312" w:hAnsi="仿宋_GB2312" w:eastAsia="仿宋_GB2312" w:cs="仿宋_GB2312"/>
          <w:sz w:val="28"/>
          <w:szCs w:val="28"/>
          <w:highlight w:val="none"/>
        </w:rPr>
        <w:t>市农业农村局</w:t>
      </w:r>
      <w:r>
        <w:rPr>
          <w:rFonts w:hint="eastAsia" w:ascii="仿宋_GB2312" w:hAnsi="仿宋_GB2312" w:eastAsia="仿宋_GB2312" w:cs="仿宋_GB2312"/>
          <w:sz w:val="28"/>
          <w:szCs w:val="28"/>
          <w:highlight w:val="none"/>
          <w:lang w:eastAsia="zh-CN"/>
        </w:rPr>
        <w:t>（市中区柏杨东路</w:t>
      </w:r>
      <w:r>
        <w:rPr>
          <w:rFonts w:hint="eastAsia" w:ascii="仿宋_GB2312" w:hAnsi="仿宋_GB2312" w:eastAsia="仿宋_GB2312" w:cs="仿宋_GB2312"/>
          <w:sz w:val="28"/>
          <w:szCs w:val="28"/>
          <w:highlight w:val="none"/>
          <w:lang w:val="en-US" w:eastAsia="zh-CN"/>
        </w:rPr>
        <w:t>218号301室）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（三）联系人：</w:t>
      </w:r>
      <w:r>
        <w:rPr>
          <w:rFonts w:hint="eastAsia" w:ascii="仿宋_GB2312" w:hAnsi="仿宋_GB2312" w:eastAsia="仿宋_GB2312" w:cs="仿宋_GB2312"/>
          <w:sz w:val="28"/>
          <w:szCs w:val="28"/>
          <w:highlight w:val="none"/>
          <w:lang w:eastAsia="zh-CN"/>
        </w:rPr>
        <w:t>任先生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（四）联系电话：13981302211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七、磋商文件获取方式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（一）获取方式：现场获取或乐山市农业农村局网站获取，不收取任何费用；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（二）供应商需提供营业执照、单位介绍信、经办人身份证明。所有资料均须加盖供应商公章，因报名信息不完整或不符合本项目要求造成报名失败的，供应商自行承担相关经济和法律责任。</w:t>
      </w:r>
      <w:r>
        <w:rPr>
          <w:rFonts w:hint="eastAsia" w:ascii="仿宋_GB2312" w:hAnsi="仿宋_GB2312" w:eastAsia="仿宋_GB2312" w:cs="仿宋_GB2312"/>
          <w:sz w:val="28"/>
          <w:szCs w:val="28"/>
          <w:highlight w:val="none"/>
          <w:lang w:val="en-US" w:eastAsia="zh-CN"/>
        </w:rPr>
        <w:tab/>
      </w:r>
      <w:r>
        <w:rPr>
          <w:rFonts w:hint="eastAsia" w:ascii="仿宋_GB2312" w:hAnsi="仿宋_GB2312" w:eastAsia="仿宋_GB2312" w:cs="仿宋_GB2312"/>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八、响应文件递交起止时间和地点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时间：2023年1月10日－1月16日上午11：00之前（节假日不受理）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地点：乐山市农业农村局科协办公区304室（市中区柏杨东路218号）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九、磋商时间和地点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时间：2023年1月16</w:t>
      </w:r>
      <w:bookmarkStart w:id="38" w:name="_GoBack"/>
      <w:bookmarkEnd w:id="38"/>
      <w:r>
        <w:rPr>
          <w:rFonts w:hint="eastAsia" w:ascii="仿宋_GB2312" w:hAnsi="仿宋_GB2312" w:eastAsia="仿宋_GB2312" w:cs="仿宋_GB2312"/>
          <w:sz w:val="28"/>
          <w:szCs w:val="28"/>
          <w:highlight w:val="none"/>
          <w:lang w:val="en-US" w:eastAsia="zh-CN"/>
        </w:rPr>
        <w:t>日下午2：30</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560" w:firstLineChars="200"/>
        <w:jc w:val="left"/>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地点：</w:t>
      </w:r>
      <w:r>
        <w:rPr>
          <w:rFonts w:hint="eastAsia" w:ascii="仿宋_GB2312" w:hAnsi="仿宋_GB2312" w:eastAsia="仿宋_GB2312" w:cs="仿宋_GB2312"/>
          <w:kern w:val="2"/>
          <w:sz w:val="28"/>
          <w:szCs w:val="28"/>
          <w:highlight w:val="none"/>
          <w:lang w:val="en-US" w:eastAsia="zh-CN" w:bidi="ar-SA"/>
        </w:rPr>
        <w:t>乐山市农业农村局科协办公楼3楼会议室（市中区柏杨东路218号）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bookmarkStart w:id="3" w:name="_Toc25493"/>
      <w:r>
        <w:rPr>
          <w:rFonts w:hint="eastAsia" w:ascii="仿宋_GB2312" w:hAnsi="仿宋_GB2312" w:eastAsia="仿宋_GB2312" w:cs="仿宋_GB2312"/>
          <w:sz w:val="28"/>
          <w:szCs w:val="28"/>
          <w:highlight w:val="none"/>
          <w:lang w:val="en-US" w:eastAsia="zh-CN"/>
        </w:rPr>
        <w:br w:type="page"/>
      </w:r>
    </w:p>
    <w:p>
      <w:pPr>
        <w:pStyle w:val="5"/>
        <w:keepNext w:val="0"/>
        <w:keepLines w:val="0"/>
        <w:pageBreakBefore w:val="0"/>
        <w:kinsoku/>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highlight w:val="none"/>
        </w:rPr>
      </w:pPr>
      <w:bookmarkStart w:id="4" w:name="_Toc11409"/>
      <w:bookmarkStart w:id="5" w:name="_Toc25378"/>
      <w:r>
        <w:rPr>
          <w:rFonts w:hint="eastAsia" w:ascii="仿宋_GB2312" w:hAnsi="仿宋_GB2312" w:eastAsia="仿宋_GB2312" w:cs="仿宋_GB2312"/>
          <w:highlight w:val="none"/>
          <w:lang w:val="en-US" w:eastAsia="zh-CN"/>
        </w:rPr>
        <w:t>供应商</w:t>
      </w:r>
      <w:r>
        <w:rPr>
          <w:rFonts w:hint="eastAsia" w:ascii="仿宋_GB2312" w:hAnsi="仿宋_GB2312" w:eastAsia="仿宋_GB2312" w:cs="仿宋_GB2312"/>
          <w:highlight w:val="none"/>
        </w:rPr>
        <w:t>须知</w:t>
      </w:r>
      <w:bookmarkEnd w:id="3"/>
      <w:bookmarkEnd w:id="4"/>
      <w:bookmarkEnd w:id="5"/>
    </w:p>
    <w:p>
      <w:pPr>
        <w:pStyle w:val="3"/>
        <w:keepNext w:val="0"/>
        <w:keepLines w:val="0"/>
        <w:pageBreakBefore w:val="0"/>
        <w:numPr>
          <w:ilvl w:val="0"/>
          <w:numId w:val="0"/>
        </w:numPr>
        <w:kinsoku/>
        <w:overflowPunct/>
        <w:topLinePunct w:val="0"/>
        <w:autoSpaceDE/>
        <w:autoSpaceDN/>
        <w:bidi w:val="0"/>
        <w:adjustRightInd/>
        <w:snapToGrid/>
        <w:spacing w:after="0" w:line="360" w:lineRule="auto"/>
        <w:ind w:leftChars="200"/>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一、确定磋商的供应商数量：本次磋商的供应商数量</w:t>
      </w:r>
      <w:r>
        <w:rPr>
          <w:rFonts w:hint="eastAsia" w:ascii="仿宋_GB2312" w:hAnsi="仿宋_GB2312" w:eastAsia="仿宋_GB2312" w:cs="仿宋_GB2312"/>
          <w:sz w:val="28"/>
          <w:szCs w:val="28"/>
          <w:highlight w:val="none"/>
          <w:lang w:val="en-US" w:eastAsia="zh-CN"/>
        </w:rPr>
        <w:t>3家及以上。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lang w:eastAsia="zh-CN"/>
        </w:rPr>
        <w:t>投标最高限价（控制价）：</w:t>
      </w:r>
      <w:r>
        <w:rPr>
          <w:rFonts w:hint="eastAsia" w:ascii="仿宋_GB2312" w:hAnsi="仿宋_GB2312" w:eastAsia="仿宋_GB2312" w:cs="仿宋_GB2312"/>
          <w:sz w:val="28"/>
          <w:szCs w:val="28"/>
          <w:highlight w:val="none"/>
          <w:lang w:val="en-US" w:eastAsia="zh-CN"/>
        </w:rPr>
        <w:t>10万元</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rPr>
        <w:t>响应文件有效期：45日，从递交响应文件截止时间之日起算。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四、评审办法：</w:t>
      </w:r>
      <w:r>
        <w:rPr>
          <w:rFonts w:hint="eastAsia" w:ascii="仿宋_GB2312" w:hAnsi="仿宋_GB2312" w:eastAsia="仿宋_GB2312" w:cs="仿宋_GB2312"/>
          <w:sz w:val="28"/>
          <w:szCs w:val="28"/>
          <w:highlight w:val="none"/>
          <w:lang w:eastAsia="zh-CN"/>
        </w:rPr>
        <w:t>综合评分法。</w:t>
      </w:r>
    </w:p>
    <w:tbl>
      <w:tblPr>
        <w:tblStyle w:val="21"/>
        <w:tblpPr w:leftFromText="180" w:rightFromText="180" w:vertAnchor="text" w:horzAnchor="page" w:tblpX="1076" w:tblpY="194"/>
        <w:tblOverlap w:val="never"/>
        <w:tblW w:w="9753"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0"/>
        <w:gridCol w:w="1058"/>
        <w:gridCol w:w="766"/>
        <w:gridCol w:w="5152"/>
        <w:gridCol w:w="23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textDirection w:val="tbRlV"/>
            <w:vAlign w:val="center"/>
          </w:tcPr>
          <w:p>
            <w:pPr>
              <w:spacing w:line="576" w:lineRule="exact"/>
              <w:ind w:firstLine="476" w:firstLineChars="20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pacing w:val="-1"/>
                <w:sz w:val="24"/>
                <w:szCs w:val="24"/>
                <w:highlight w:val="none"/>
              </w:rPr>
              <w:t>序号</w:t>
            </w:r>
          </w:p>
        </w:tc>
        <w:tc>
          <w:tcPr>
            <w:tcW w:w="1058" w:type="dxa"/>
            <w:noWrap w:val="0"/>
            <w:vAlign w:val="center"/>
          </w:tcPr>
          <w:p>
            <w:pPr>
              <w:spacing w:line="576"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pacing w:val="-7"/>
                <w:sz w:val="24"/>
                <w:szCs w:val="24"/>
                <w:highlight w:val="none"/>
              </w:rPr>
              <w:t>评分因素及权重</w:t>
            </w:r>
          </w:p>
        </w:tc>
        <w:tc>
          <w:tcPr>
            <w:tcW w:w="766" w:type="dxa"/>
            <w:noWrap w:val="0"/>
            <w:vAlign w:val="center"/>
          </w:tcPr>
          <w:p>
            <w:pPr>
              <w:spacing w:line="576"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pacing w:val="-6"/>
                <w:sz w:val="24"/>
                <w:szCs w:val="24"/>
                <w:highlight w:val="none"/>
              </w:rPr>
              <w:t>分值</w:t>
            </w:r>
          </w:p>
        </w:tc>
        <w:tc>
          <w:tcPr>
            <w:tcW w:w="5152" w:type="dxa"/>
            <w:noWrap w:val="0"/>
            <w:vAlign w:val="center"/>
          </w:tcPr>
          <w:p>
            <w:pPr>
              <w:spacing w:line="576"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pacing w:val="-7"/>
                <w:sz w:val="24"/>
                <w:szCs w:val="24"/>
                <w:highlight w:val="none"/>
              </w:rPr>
              <w:t>评分标准</w:t>
            </w:r>
          </w:p>
        </w:tc>
        <w:tc>
          <w:tcPr>
            <w:tcW w:w="2337" w:type="dxa"/>
            <w:noWrap w:val="0"/>
            <w:vAlign w:val="center"/>
          </w:tcPr>
          <w:p>
            <w:pPr>
              <w:spacing w:line="576"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pacing w:val="-6"/>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vAlign w:val="center"/>
          </w:tcPr>
          <w:p>
            <w:pPr>
              <w:spacing w:before="269" w:line="576" w:lineRule="exact"/>
              <w:ind w:firstLine="128"/>
              <w:jc w:val="center"/>
              <w:rPr>
                <w:rFonts w:hint="eastAsia" w:ascii="仿宋_GB2312" w:hAnsi="仿宋_GB2312" w:eastAsia="仿宋_GB2312" w:cs="仿宋_GB2312"/>
                <w:spacing w:val="-1"/>
                <w:sz w:val="24"/>
                <w:szCs w:val="24"/>
                <w:highlight w:val="none"/>
              </w:rPr>
            </w:pPr>
            <w:r>
              <w:rPr>
                <w:rFonts w:hint="eastAsia" w:ascii="仿宋_GB2312" w:hAnsi="仿宋_GB2312" w:eastAsia="仿宋_GB2312" w:cs="仿宋_GB2312"/>
                <w:sz w:val="24"/>
                <w:szCs w:val="24"/>
                <w:highlight w:val="none"/>
              </w:rPr>
              <w:t>1</w:t>
            </w:r>
          </w:p>
        </w:tc>
        <w:tc>
          <w:tcPr>
            <w:tcW w:w="1058" w:type="dxa"/>
            <w:noWrap w:val="0"/>
            <w:vAlign w:val="center"/>
          </w:tcPr>
          <w:p>
            <w:pPr>
              <w:widowControl w:val="0"/>
              <w:kinsoku/>
              <w:autoSpaceDE/>
              <w:autoSpaceDN/>
              <w:adjustRightInd/>
              <w:snapToGrid/>
              <w:spacing w:line="576" w:lineRule="exact"/>
              <w:jc w:val="center"/>
              <w:textAlignment w:val="auto"/>
              <w:rPr>
                <w:rFonts w:hint="eastAsia" w:ascii="仿宋_GB2312" w:hAnsi="仿宋_GB2312" w:eastAsia="仿宋_GB2312" w:cs="仿宋_GB2312"/>
                <w:spacing w:val="-7"/>
                <w:sz w:val="24"/>
                <w:szCs w:val="24"/>
                <w:highlight w:val="none"/>
              </w:rPr>
            </w:pPr>
            <w:r>
              <w:rPr>
                <w:rFonts w:hint="eastAsia" w:ascii="仿宋_GB2312" w:hAnsi="仿宋_GB2312" w:eastAsia="仿宋_GB2312" w:cs="仿宋_GB2312"/>
                <w:spacing w:val="-4"/>
                <w:sz w:val="24"/>
                <w:szCs w:val="24"/>
                <w:highlight w:val="none"/>
              </w:rPr>
              <w:t>报价（</w:t>
            </w:r>
            <w:r>
              <w:rPr>
                <w:rFonts w:hint="eastAsia" w:ascii="仿宋_GB2312" w:hAnsi="仿宋_GB2312" w:eastAsia="仿宋_GB2312" w:cs="仿宋_GB2312"/>
                <w:spacing w:val="-4"/>
                <w:sz w:val="24"/>
                <w:szCs w:val="24"/>
                <w:highlight w:val="none"/>
                <w:lang w:val="en-US" w:eastAsia="zh-CN"/>
              </w:rPr>
              <w:t>20</w:t>
            </w:r>
            <w:r>
              <w:rPr>
                <w:rFonts w:hint="eastAsia" w:ascii="仿宋_GB2312" w:hAnsi="仿宋_GB2312" w:eastAsia="仿宋_GB2312" w:cs="仿宋_GB2312"/>
                <w:spacing w:val="-4"/>
                <w:sz w:val="24"/>
                <w:szCs w:val="24"/>
                <w:highlight w:val="none"/>
              </w:rPr>
              <w:t>%）</w:t>
            </w:r>
          </w:p>
        </w:tc>
        <w:tc>
          <w:tcPr>
            <w:tcW w:w="766" w:type="dxa"/>
            <w:noWrap w:val="0"/>
            <w:vAlign w:val="center"/>
          </w:tcPr>
          <w:p>
            <w:pPr>
              <w:spacing w:before="237" w:line="576" w:lineRule="exact"/>
              <w:ind w:firstLine="114"/>
              <w:jc w:val="center"/>
              <w:rPr>
                <w:rFonts w:hint="eastAsia" w:ascii="仿宋_GB2312" w:hAnsi="仿宋_GB2312" w:eastAsia="仿宋_GB2312" w:cs="仿宋_GB2312"/>
                <w:spacing w:val="-6"/>
                <w:sz w:val="24"/>
                <w:szCs w:val="24"/>
                <w:highlight w:val="none"/>
              </w:rPr>
            </w:pPr>
            <w:r>
              <w:rPr>
                <w:rFonts w:hint="eastAsia" w:ascii="仿宋_GB2312" w:hAnsi="仿宋_GB2312" w:eastAsia="仿宋_GB2312" w:cs="仿宋_GB2312"/>
                <w:spacing w:val="-6"/>
                <w:sz w:val="24"/>
                <w:szCs w:val="24"/>
                <w:highlight w:val="none"/>
                <w:lang w:val="en-US" w:eastAsia="zh-CN"/>
              </w:rPr>
              <w:t>20</w:t>
            </w:r>
            <w:r>
              <w:rPr>
                <w:rFonts w:hint="eastAsia" w:ascii="仿宋_GB2312" w:hAnsi="仿宋_GB2312" w:eastAsia="仿宋_GB2312" w:cs="仿宋_GB2312"/>
                <w:spacing w:val="-6"/>
                <w:sz w:val="24"/>
                <w:szCs w:val="24"/>
                <w:highlight w:val="none"/>
              </w:rPr>
              <w:t>分</w:t>
            </w:r>
          </w:p>
        </w:tc>
        <w:tc>
          <w:tcPr>
            <w:tcW w:w="5152" w:type="dxa"/>
            <w:noWrap w:val="0"/>
            <w:vAlign w:val="center"/>
          </w:tcPr>
          <w:p>
            <w:pPr>
              <w:spacing w:before="32" w:line="576" w:lineRule="exact"/>
              <w:ind w:left="113" w:right="105" w:firstLine="22"/>
              <w:rPr>
                <w:rFonts w:hint="eastAsia" w:ascii="仿宋_GB2312" w:hAnsi="仿宋_GB2312" w:eastAsia="仿宋_GB2312" w:cs="仿宋_GB2312"/>
                <w:spacing w:val="-9"/>
                <w:sz w:val="24"/>
                <w:szCs w:val="24"/>
                <w:highlight w:val="none"/>
              </w:rPr>
            </w:pPr>
            <w:r>
              <w:rPr>
                <w:rFonts w:hint="eastAsia" w:ascii="仿宋_GB2312" w:hAnsi="仿宋_GB2312" w:eastAsia="仿宋_GB2312" w:cs="仿宋_GB2312"/>
                <w:spacing w:val="12"/>
                <w:sz w:val="24"/>
                <w:szCs w:val="24"/>
                <w:highlight w:val="none"/>
              </w:rPr>
              <w:t>以本次有效供应商中经评审的最低磋商报价为基准</w:t>
            </w:r>
            <w:r>
              <w:rPr>
                <w:rFonts w:hint="eastAsia" w:ascii="仿宋_GB2312" w:hAnsi="仿宋_GB2312" w:eastAsia="仿宋_GB2312" w:cs="仿宋_GB2312"/>
                <w:spacing w:val="-4"/>
                <w:sz w:val="24"/>
                <w:szCs w:val="24"/>
                <w:highlight w:val="none"/>
              </w:rPr>
              <w:t>价，磋商报价得分=(基准价／最后报价)*15。</w:t>
            </w:r>
          </w:p>
        </w:tc>
        <w:tc>
          <w:tcPr>
            <w:tcW w:w="2337" w:type="dxa"/>
            <w:noWrap w:val="0"/>
            <w:vAlign w:val="center"/>
          </w:tcPr>
          <w:p>
            <w:pPr>
              <w:spacing w:before="237" w:line="576" w:lineRule="exact"/>
              <w:ind w:firstLine="112"/>
              <w:rPr>
                <w:rFonts w:hint="eastAsia" w:ascii="仿宋_GB2312" w:hAnsi="仿宋_GB2312" w:eastAsia="仿宋_GB2312" w:cs="仿宋_GB2312"/>
                <w:spacing w:val="-14"/>
                <w:sz w:val="24"/>
                <w:szCs w:val="24"/>
                <w:highlight w:val="none"/>
              </w:rPr>
            </w:pPr>
            <w:r>
              <w:rPr>
                <w:rFonts w:hint="eastAsia" w:ascii="仿宋_GB2312" w:hAnsi="仿宋_GB2312" w:eastAsia="仿宋_GB2312" w:cs="仿宋_GB2312"/>
                <w:spacing w:val="-2"/>
                <w:sz w:val="24"/>
                <w:szCs w:val="24"/>
                <w:highlight w:val="none"/>
              </w:rPr>
              <w:t>经济类评审因素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vAlign w:val="center"/>
          </w:tcPr>
          <w:p>
            <w:pPr>
              <w:spacing w:before="269" w:line="576" w:lineRule="exact"/>
              <w:ind w:firstLine="128"/>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058" w:type="dxa"/>
            <w:noWrap w:val="0"/>
            <w:vAlign w:val="center"/>
          </w:tcPr>
          <w:p>
            <w:pPr>
              <w:widowControl w:val="0"/>
              <w:kinsoku/>
              <w:autoSpaceDE/>
              <w:autoSpaceDN/>
              <w:adjustRightInd/>
              <w:snapToGrid/>
              <w:spacing w:line="576" w:lineRule="exact"/>
              <w:jc w:val="center"/>
              <w:textAlignment w:val="auto"/>
              <w:rPr>
                <w:rFonts w:hint="eastAsia" w:ascii="仿宋_GB2312" w:hAnsi="仿宋_GB2312" w:eastAsia="仿宋_GB2312" w:cs="仿宋_GB2312"/>
                <w:spacing w:val="-4"/>
                <w:sz w:val="24"/>
                <w:szCs w:val="24"/>
                <w:highlight w:val="none"/>
              </w:rPr>
            </w:pPr>
            <w:r>
              <w:rPr>
                <w:rFonts w:hint="eastAsia" w:ascii="仿宋_GB2312" w:hAnsi="仿宋_GB2312" w:eastAsia="仿宋_GB2312" w:cs="仿宋_GB2312"/>
                <w:spacing w:val="-4"/>
                <w:sz w:val="24"/>
                <w:szCs w:val="24"/>
                <w:highlight w:val="none"/>
              </w:rPr>
              <w:t>服务</w:t>
            </w:r>
          </w:p>
          <w:p>
            <w:pPr>
              <w:widowControl w:val="0"/>
              <w:kinsoku/>
              <w:autoSpaceDE/>
              <w:autoSpaceDN/>
              <w:adjustRightInd/>
              <w:snapToGrid/>
              <w:spacing w:line="576" w:lineRule="exact"/>
              <w:jc w:val="center"/>
              <w:textAlignment w:val="auto"/>
              <w:rPr>
                <w:rFonts w:hint="eastAsia" w:ascii="仿宋_GB2312" w:hAnsi="仿宋_GB2312" w:eastAsia="仿宋_GB2312" w:cs="仿宋_GB2312"/>
                <w:spacing w:val="-4"/>
                <w:sz w:val="24"/>
                <w:szCs w:val="24"/>
                <w:highlight w:val="none"/>
              </w:rPr>
            </w:pPr>
            <w:r>
              <w:rPr>
                <w:rFonts w:hint="eastAsia" w:ascii="仿宋_GB2312" w:hAnsi="仿宋_GB2312" w:eastAsia="仿宋_GB2312" w:cs="仿宋_GB2312"/>
                <w:spacing w:val="-4"/>
                <w:sz w:val="24"/>
                <w:szCs w:val="24"/>
                <w:highlight w:val="none"/>
              </w:rPr>
              <w:t>方案</w:t>
            </w:r>
          </w:p>
          <w:p>
            <w:pPr>
              <w:widowControl w:val="0"/>
              <w:kinsoku/>
              <w:autoSpaceDE/>
              <w:autoSpaceDN/>
              <w:adjustRightInd/>
              <w:snapToGrid/>
              <w:spacing w:line="576" w:lineRule="exact"/>
              <w:jc w:val="center"/>
              <w:textAlignment w:val="auto"/>
              <w:rPr>
                <w:rFonts w:hint="eastAsia" w:ascii="仿宋_GB2312" w:hAnsi="仿宋_GB2312" w:eastAsia="仿宋_GB2312" w:cs="仿宋_GB2312"/>
                <w:spacing w:val="-4"/>
                <w:sz w:val="24"/>
                <w:szCs w:val="24"/>
                <w:highlight w:val="none"/>
              </w:rPr>
            </w:pPr>
            <w:r>
              <w:rPr>
                <w:rFonts w:hint="eastAsia" w:ascii="仿宋_GB2312" w:hAnsi="仿宋_GB2312" w:eastAsia="仿宋_GB2312" w:cs="仿宋_GB2312"/>
                <w:spacing w:val="-4"/>
                <w:sz w:val="24"/>
                <w:szCs w:val="24"/>
                <w:highlight w:val="none"/>
              </w:rPr>
              <w:t>（</w:t>
            </w:r>
            <w:r>
              <w:rPr>
                <w:rFonts w:hint="eastAsia" w:ascii="仿宋_GB2312" w:hAnsi="仿宋_GB2312" w:eastAsia="仿宋_GB2312" w:cs="仿宋_GB2312"/>
                <w:spacing w:val="-4"/>
                <w:sz w:val="24"/>
                <w:szCs w:val="24"/>
                <w:highlight w:val="none"/>
                <w:lang w:val="en-US" w:eastAsia="zh-CN"/>
              </w:rPr>
              <w:t>20</w:t>
            </w:r>
            <w:r>
              <w:rPr>
                <w:rFonts w:hint="eastAsia" w:ascii="仿宋_GB2312" w:hAnsi="仿宋_GB2312" w:eastAsia="仿宋_GB2312" w:cs="仿宋_GB2312"/>
                <w:spacing w:val="-4"/>
                <w:sz w:val="24"/>
                <w:szCs w:val="24"/>
                <w:highlight w:val="none"/>
              </w:rPr>
              <w:t>%）</w:t>
            </w:r>
          </w:p>
        </w:tc>
        <w:tc>
          <w:tcPr>
            <w:tcW w:w="766" w:type="dxa"/>
            <w:noWrap w:val="0"/>
            <w:vAlign w:val="center"/>
          </w:tcPr>
          <w:p>
            <w:pPr>
              <w:spacing w:before="237" w:line="576" w:lineRule="exact"/>
              <w:ind w:firstLine="114"/>
              <w:jc w:val="center"/>
              <w:rPr>
                <w:rFonts w:hint="eastAsia" w:ascii="仿宋_GB2312" w:hAnsi="仿宋_GB2312" w:eastAsia="仿宋_GB2312" w:cs="仿宋_GB2312"/>
                <w:spacing w:val="-4"/>
                <w:sz w:val="24"/>
                <w:szCs w:val="24"/>
                <w:highlight w:val="none"/>
              </w:rPr>
            </w:pPr>
            <w:r>
              <w:rPr>
                <w:rFonts w:hint="eastAsia" w:ascii="仿宋_GB2312" w:hAnsi="仿宋_GB2312" w:eastAsia="仿宋_GB2312" w:cs="仿宋_GB2312"/>
                <w:spacing w:val="-4"/>
                <w:sz w:val="24"/>
                <w:szCs w:val="24"/>
                <w:highlight w:val="none"/>
                <w:lang w:val="en-US" w:eastAsia="zh-CN"/>
              </w:rPr>
              <w:t>20</w:t>
            </w:r>
            <w:r>
              <w:rPr>
                <w:rFonts w:hint="eastAsia" w:ascii="仿宋_GB2312" w:hAnsi="仿宋_GB2312" w:eastAsia="仿宋_GB2312" w:cs="仿宋_GB2312"/>
                <w:spacing w:val="-4"/>
                <w:sz w:val="24"/>
                <w:szCs w:val="24"/>
                <w:highlight w:val="none"/>
              </w:rPr>
              <w:t>分</w:t>
            </w:r>
          </w:p>
        </w:tc>
        <w:tc>
          <w:tcPr>
            <w:tcW w:w="5152"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rPr>
            </w:pPr>
            <w:r>
              <w:rPr>
                <w:rFonts w:hint="eastAsia" w:ascii="仿宋_GB2312" w:hAnsi="仿宋_GB2312" w:eastAsia="仿宋_GB2312" w:cs="仿宋_GB2312"/>
                <w:spacing w:val="12"/>
                <w:sz w:val="24"/>
                <w:szCs w:val="24"/>
                <w:highlight w:val="none"/>
                <w:lang w:val="en-US" w:eastAsia="zh-CN"/>
              </w:rPr>
              <w:t>根据供应商提供的技术实施方案（至少应包括1、针对本项目成立的项目工作组；2、对工作的重点难点分析及解决方案；3、质量控制措施4、项目的检查验收；5、保密和安全保障）进行评审，方案完整无漏项且满足本项目实际情况的得20分，每有一项内容缺失或表述不准确或与本项目不符合的扣4分，直至扣完为止。</w:t>
            </w:r>
          </w:p>
        </w:tc>
        <w:tc>
          <w:tcPr>
            <w:tcW w:w="2337" w:type="dxa"/>
            <w:noWrap w:val="0"/>
            <w:vAlign w:val="center"/>
          </w:tcPr>
          <w:p>
            <w:pPr>
              <w:spacing w:line="576" w:lineRule="exact"/>
              <w:rPr>
                <w:rFonts w:hint="eastAsia" w:ascii="仿宋_GB2312" w:hAnsi="仿宋_GB2312" w:eastAsia="仿宋_GB2312" w:cs="仿宋_GB2312"/>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vAlign w:val="center"/>
          </w:tcPr>
          <w:p>
            <w:pPr>
              <w:spacing w:before="269" w:line="576" w:lineRule="exact"/>
              <w:ind w:firstLine="128"/>
              <w:jc w:val="center"/>
              <w:rPr>
                <w:rFonts w:hint="eastAsia" w:ascii="仿宋_GB2312" w:hAnsi="仿宋_GB2312" w:eastAsia="仿宋_GB2312" w:cs="仿宋_GB2312"/>
                <w:sz w:val="24"/>
                <w:szCs w:val="24"/>
                <w:highlight w:val="none"/>
              </w:rPr>
            </w:pPr>
          </w:p>
        </w:tc>
        <w:tc>
          <w:tcPr>
            <w:tcW w:w="1058"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省级电视媒体展播总时长（25%）</w:t>
            </w:r>
          </w:p>
        </w:tc>
        <w:tc>
          <w:tcPr>
            <w:tcW w:w="766"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25分</w:t>
            </w:r>
          </w:p>
        </w:tc>
        <w:tc>
          <w:tcPr>
            <w:tcW w:w="5152"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最后以省级媒体展播总时长最长的供应商为基础时长，其时长为满分。其他供应商的得分统一按照下列公式计算：磋商时长得分=（最后磋商时长/磋商基础时长）×25。</w:t>
            </w:r>
          </w:p>
        </w:tc>
        <w:tc>
          <w:tcPr>
            <w:tcW w:w="2337"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vAlign w:val="center"/>
          </w:tcPr>
          <w:p>
            <w:pPr>
              <w:spacing w:before="269" w:line="576" w:lineRule="exact"/>
              <w:ind w:firstLine="128"/>
              <w:jc w:val="center"/>
              <w:rPr>
                <w:rFonts w:hint="eastAsia" w:ascii="仿宋_GB2312" w:hAnsi="仿宋_GB2312" w:eastAsia="仿宋_GB2312" w:cs="仿宋_GB2312"/>
                <w:sz w:val="24"/>
                <w:szCs w:val="24"/>
                <w:highlight w:val="none"/>
              </w:rPr>
            </w:pPr>
          </w:p>
        </w:tc>
        <w:tc>
          <w:tcPr>
            <w:tcW w:w="1058"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市级电视媒体展播总时长（20%）</w:t>
            </w:r>
          </w:p>
        </w:tc>
        <w:tc>
          <w:tcPr>
            <w:tcW w:w="766"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20分</w:t>
            </w:r>
          </w:p>
        </w:tc>
        <w:tc>
          <w:tcPr>
            <w:tcW w:w="5152"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最后以</w:t>
            </w:r>
            <w:r>
              <w:rPr>
                <w:rFonts w:hint="eastAsia" w:ascii="仿宋_GB2312" w:hAnsi="仿宋_GB2312" w:eastAsia="仿宋_GB2312" w:cs="仿宋_GB2312"/>
                <w:color w:val="000000" w:themeColor="text1"/>
                <w:spacing w:val="12"/>
                <w:sz w:val="24"/>
                <w:szCs w:val="24"/>
                <w:highlight w:val="none"/>
                <w:lang w:val="en-US" w:eastAsia="zh-CN"/>
                <w14:textFill>
                  <w14:solidFill>
                    <w14:schemeClr w14:val="tx1"/>
                  </w14:solidFill>
                </w14:textFill>
              </w:rPr>
              <w:t>省级</w:t>
            </w:r>
            <w:r>
              <w:rPr>
                <w:rFonts w:hint="eastAsia" w:ascii="仿宋_GB2312" w:hAnsi="仿宋_GB2312" w:eastAsia="仿宋_GB2312" w:cs="仿宋_GB2312"/>
                <w:spacing w:val="12"/>
                <w:sz w:val="24"/>
                <w:szCs w:val="24"/>
                <w:highlight w:val="none"/>
                <w:lang w:val="en-US" w:eastAsia="zh-CN"/>
              </w:rPr>
              <w:t>媒体展播总时长最长的供应商为基础时长，其时长为满分。其他供应商的得分统一按照下列公式计算：磋商时长得分=（最后磋商时长/磋商基础时长）×20。</w:t>
            </w:r>
          </w:p>
        </w:tc>
        <w:tc>
          <w:tcPr>
            <w:tcW w:w="2337"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vAlign w:val="center"/>
          </w:tcPr>
          <w:p>
            <w:pPr>
              <w:spacing w:line="576" w:lineRule="exact"/>
              <w:jc w:val="center"/>
              <w:rPr>
                <w:rFonts w:hint="eastAsia" w:ascii="仿宋_GB2312" w:hAnsi="仿宋_GB2312" w:eastAsia="仿宋_GB2312" w:cs="仿宋_GB2312"/>
                <w:spacing w:val="-1"/>
                <w:sz w:val="24"/>
                <w:szCs w:val="24"/>
                <w:highlight w:val="none"/>
              </w:rPr>
            </w:pPr>
            <w:r>
              <w:rPr>
                <w:rFonts w:hint="eastAsia" w:ascii="仿宋_GB2312" w:hAnsi="仿宋_GB2312" w:eastAsia="仿宋_GB2312" w:cs="仿宋_GB2312"/>
                <w:spacing w:val="-1"/>
                <w:sz w:val="24"/>
                <w:szCs w:val="24"/>
                <w:highlight w:val="none"/>
              </w:rPr>
              <w:t>4</w:t>
            </w:r>
          </w:p>
        </w:tc>
        <w:tc>
          <w:tcPr>
            <w:tcW w:w="1058"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业绩</w:t>
            </w:r>
          </w:p>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（10%）</w:t>
            </w:r>
          </w:p>
        </w:tc>
        <w:tc>
          <w:tcPr>
            <w:tcW w:w="766"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10分</w:t>
            </w:r>
          </w:p>
        </w:tc>
        <w:tc>
          <w:tcPr>
            <w:tcW w:w="5152"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供应商提供自2018年来完成的类似服务项目的每一项得5分，最多得10分，不提供不得分。</w:t>
            </w:r>
          </w:p>
        </w:tc>
        <w:tc>
          <w:tcPr>
            <w:tcW w:w="2337"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提供成交通知书或合同复印件并加盖供应商公章。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0" w:type="dxa"/>
            <w:noWrap w:val="0"/>
            <w:vAlign w:val="center"/>
          </w:tcPr>
          <w:p>
            <w:pPr>
              <w:spacing w:line="576" w:lineRule="exact"/>
              <w:jc w:val="center"/>
              <w:rPr>
                <w:rFonts w:hint="eastAsia" w:ascii="仿宋_GB2312" w:hAnsi="仿宋_GB2312" w:eastAsia="仿宋_GB2312" w:cs="仿宋_GB2312"/>
                <w:spacing w:val="-1"/>
                <w:sz w:val="24"/>
                <w:szCs w:val="24"/>
                <w:highlight w:val="none"/>
              </w:rPr>
            </w:pPr>
            <w:r>
              <w:rPr>
                <w:rFonts w:hint="eastAsia" w:ascii="仿宋_GB2312" w:hAnsi="仿宋_GB2312" w:eastAsia="仿宋_GB2312" w:cs="仿宋_GB2312"/>
                <w:spacing w:val="-1"/>
                <w:sz w:val="24"/>
                <w:szCs w:val="24"/>
                <w:highlight w:val="none"/>
              </w:rPr>
              <w:t>5</w:t>
            </w:r>
          </w:p>
        </w:tc>
        <w:tc>
          <w:tcPr>
            <w:tcW w:w="1058"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投标文件的规范性（5%）</w:t>
            </w:r>
          </w:p>
        </w:tc>
        <w:tc>
          <w:tcPr>
            <w:tcW w:w="766"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5分</w:t>
            </w:r>
          </w:p>
        </w:tc>
        <w:tc>
          <w:tcPr>
            <w:tcW w:w="5152"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r>
              <w:rPr>
                <w:rFonts w:hint="eastAsia" w:ascii="仿宋_GB2312" w:hAnsi="仿宋_GB2312" w:eastAsia="仿宋_GB2312" w:cs="仿宋_GB2312"/>
                <w:spacing w:val="12"/>
                <w:sz w:val="24"/>
                <w:szCs w:val="24"/>
                <w:highlight w:val="none"/>
                <w:lang w:val="en-US" w:eastAsia="zh-CN"/>
              </w:rPr>
              <w:t>投标文件制作规范，没有细微偏差情形的得5分；有一项细微偏差扣0.5分，直至该项分值扣完为止。</w:t>
            </w:r>
          </w:p>
        </w:tc>
        <w:tc>
          <w:tcPr>
            <w:tcW w:w="2337" w:type="dxa"/>
            <w:noWrap w:val="0"/>
            <w:vAlign w:val="center"/>
          </w:tcPr>
          <w:p>
            <w:pPr>
              <w:spacing w:before="33" w:line="576" w:lineRule="exact"/>
              <w:ind w:left="113" w:hanging="1"/>
              <w:rPr>
                <w:rFonts w:hint="eastAsia" w:ascii="仿宋_GB2312" w:hAnsi="仿宋_GB2312" w:eastAsia="仿宋_GB2312" w:cs="仿宋_GB2312"/>
                <w:spacing w:val="12"/>
                <w:sz w:val="24"/>
                <w:szCs w:val="24"/>
                <w:highlight w:val="none"/>
                <w:lang w:val="en-US" w:eastAsia="zh-CN"/>
              </w:rPr>
            </w:pPr>
          </w:p>
        </w:tc>
      </w:tr>
    </w:tbl>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五、参加</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highlight w:val="none"/>
          <w:lang w:eastAsia="zh-CN"/>
        </w:rPr>
        <w:t>供应商</w:t>
      </w:r>
      <w:r>
        <w:rPr>
          <w:rFonts w:hint="eastAsia" w:ascii="仿宋_GB2312" w:hAnsi="仿宋_GB2312" w:eastAsia="仿宋_GB2312" w:cs="仿宋_GB2312"/>
          <w:sz w:val="28"/>
          <w:szCs w:val="28"/>
          <w:highlight w:val="none"/>
        </w:rPr>
        <w:t>应仔细阅读</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的所有内容，按照</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的要求提供</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响应文件，并保证所提供的全部资料的真实性和有效性，一经发现有虚假行为的，将取消其参加竞争性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或成交资格，并承担相应的法律责任。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六</w:t>
      </w:r>
      <w:r>
        <w:rPr>
          <w:rFonts w:hint="eastAsia" w:ascii="仿宋_GB2312" w:hAnsi="仿宋_GB2312" w:eastAsia="仿宋_GB2312" w:cs="仿宋_GB2312"/>
          <w:sz w:val="28"/>
          <w:szCs w:val="28"/>
          <w:highlight w:val="none"/>
        </w:rPr>
        <w:t>、竞争性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文件的修改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在响应文件递交截止日前，</w:t>
      </w:r>
      <w:r>
        <w:rPr>
          <w:rFonts w:hint="eastAsia" w:ascii="仿宋_GB2312" w:hAnsi="仿宋_GB2312" w:eastAsia="仿宋_GB2312" w:cs="仿宋_GB2312"/>
          <w:sz w:val="28"/>
          <w:szCs w:val="28"/>
          <w:highlight w:val="none"/>
          <w:lang w:eastAsia="zh-CN"/>
        </w:rPr>
        <w:t>乐山市农业农村局</w:t>
      </w:r>
      <w:r>
        <w:rPr>
          <w:rFonts w:hint="eastAsia" w:ascii="仿宋_GB2312" w:hAnsi="仿宋_GB2312" w:eastAsia="仿宋_GB2312" w:cs="仿宋_GB2312"/>
          <w:sz w:val="28"/>
          <w:szCs w:val="28"/>
          <w:highlight w:val="none"/>
        </w:rPr>
        <w:t>对竞争性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文件作出的书面修改及补充，该修改及补充是</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不可分割的部分。为使</w:t>
      </w:r>
      <w:r>
        <w:rPr>
          <w:rFonts w:hint="eastAsia" w:ascii="仿宋_GB2312" w:hAnsi="仿宋_GB2312" w:eastAsia="仿宋_GB2312" w:cs="仿宋_GB2312"/>
          <w:sz w:val="28"/>
          <w:szCs w:val="28"/>
          <w:highlight w:val="none"/>
          <w:lang w:eastAsia="zh-CN"/>
        </w:rPr>
        <w:t>潜在供应商</w:t>
      </w:r>
      <w:r>
        <w:rPr>
          <w:rFonts w:hint="eastAsia" w:ascii="仿宋_GB2312" w:hAnsi="仿宋_GB2312" w:eastAsia="仿宋_GB2312" w:cs="仿宋_GB2312"/>
          <w:sz w:val="28"/>
          <w:szCs w:val="28"/>
          <w:highlight w:val="none"/>
        </w:rPr>
        <w:t>有足够的时间按修改和补充文件要求编写响应文件，</w:t>
      </w:r>
      <w:r>
        <w:rPr>
          <w:rFonts w:hint="eastAsia" w:ascii="仿宋_GB2312" w:hAnsi="仿宋_GB2312" w:eastAsia="仿宋_GB2312" w:cs="仿宋_GB2312"/>
          <w:sz w:val="28"/>
          <w:szCs w:val="28"/>
          <w:highlight w:val="none"/>
          <w:lang w:eastAsia="zh-CN"/>
        </w:rPr>
        <w:t>乐山市农业农村局</w:t>
      </w:r>
      <w:r>
        <w:rPr>
          <w:rFonts w:hint="eastAsia" w:ascii="仿宋_GB2312" w:hAnsi="仿宋_GB2312" w:eastAsia="仿宋_GB2312" w:cs="仿宋_GB2312"/>
          <w:sz w:val="28"/>
          <w:szCs w:val="28"/>
          <w:highlight w:val="none"/>
        </w:rPr>
        <w:t>有权推迟响应文件递交截止时间，并以书面形式通知所有取得</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highlight w:val="none"/>
          <w:lang w:eastAsia="zh-CN"/>
        </w:rPr>
        <w:t>供应商</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七、磋商</w:t>
      </w:r>
      <w:r>
        <w:rPr>
          <w:rFonts w:hint="eastAsia" w:ascii="仿宋_GB2312" w:hAnsi="仿宋_GB2312" w:eastAsia="仿宋_GB2312" w:cs="仿宋_GB2312"/>
          <w:sz w:val="28"/>
          <w:szCs w:val="28"/>
          <w:highlight w:val="none"/>
        </w:rPr>
        <w:t>响应文件的制作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参加竞争性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highlight w:val="none"/>
          <w:lang w:eastAsia="zh-CN"/>
        </w:rPr>
        <w:t>供应商</w:t>
      </w:r>
      <w:r>
        <w:rPr>
          <w:rFonts w:hint="eastAsia" w:ascii="仿宋_GB2312" w:hAnsi="仿宋_GB2312" w:eastAsia="仿宋_GB2312" w:cs="仿宋_GB2312"/>
          <w:sz w:val="28"/>
          <w:szCs w:val="28"/>
          <w:highlight w:val="none"/>
        </w:rPr>
        <w:t>应按照</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的要求，准备响应文件1份</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响应文件应打印，由各</w:t>
      </w:r>
      <w:r>
        <w:rPr>
          <w:rFonts w:hint="eastAsia" w:ascii="仿宋_GB2312" w:hAnsi="仿宋_GB2312" w:eastAsia="仿宋_GB2312" w:cs="仿宋_GB2312"/>
          <w:sz w:val="28"/>
          <w:szCs w:val="28"/>
          <w:highlight w:val="none"/>
          <w:lang w:eastAsia="zh-CN"/>
        </w:rPr>
        <w:t>供应商</w:t>
      </w:r>
      <w:r>
        <w:rPr>
          <w:rFonts w:hint="eastAsia" w:ascii="仿宋_GB2312" w:hAnsi="仿宋_GB2312" w:eastAsia="仿宋_GB2312" w:cs="仿宋_GB2312"/>
          <w:sz w:val="28"/>
          <w:szCs w:val="28"/>
          <w:highlight w:val="none"/>
        </w:rPr>
        <w:t>法定代表人或其授权代表签字并盖单位公章。授权代表必须将法定代表人签字并盖章后的“法定代表人授权书”附在响应文件中。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rPr>
        <w:t>除各</w:t>
      </w:r>
      <w:r>
        <w:rPr>
          <w:rFonts w:hint="eastAsia" w:ascii="仿宋_GB2312" w:hAnsi="仿宋_GB2312" w:eastAsia="仿宋_GB2312" w:cs="仿宋_GB2312"/>
          <w:sz w:val="28"/>
          <w:szCs w:val="28"/>
          <w:highlight w:val="none"/>
          <w:lang w:eastAsia="zh-CN"/>
        </w:rPr>
        <w:t>供应商</w:t>
      </w:r>
      <w:r>
        <w:rPr>
          <w:rFonts w:hint="eastAsia" w:ascii="仿宋_GB2312" w:hAnsi="仿宋_GB2312" w:eastAsia="仿宋_GB2312" w:cs="仿宋_GB2312"/>
          <w:sz w:val="28"/>
          <w:szCs w:val="28"/>
          <w:highlight w:val="none"/>
        </w:rPr>
        <w:t>对错处做必要修改外，响应文件不得行间插字、涂改和增删，如有修改错漏处，必须由同一签署人在修改错漏处签字并盖章。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（四）</w:t>
      </w:r>
      <w:r>
        <w:rPr>
          <w:rFonts w:hint="eastAsia" w:ascii="仿宋_GB2312" w:hAnsi="仿宋_GB2312" w:eastAsia="仿宋_GB2312" w:cs="仿宋_GB2312"/>
          <w:sz w:val="28"/>
          <w:szCs w:val="28"/>
          <w:highlight w:val="none"/>
        </w:rPr>
        <w:t>响应文件的制作应使用中文，用非中文印刷的技术资料、资格资质证书等，应提供符合中国有关法律、法规的中文译文，并以中文译本为准。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（五）</w:t>
      </w:r>
      <w:r>
        <w:rPr>
          <w:rFonts w:hint="eastAsia" w:ascii="仿宋_GB2312" w:hAnsi="仿宋_GB2312" w:eastAsia="仿宋_GB2312" w:cs="仿宋_GB2312"/>
          <w:sz w:val="28"/>
          <w:szCs w:val="28"/>
          <w:highlight w:val="none"/>
        </w:rPr>
        <w:t>本次</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项目的报价货币为人民币，报价以</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文件约定为准。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（六）</w:t>
      </w:r>
      <w:r>
        <w:rPr>
          <w:rFonts w:hint="eastAsia" w:ascii="仿宋_GB2312" w:hAnsi="仿宋_GB2312" w:eastAsia="仿宋_GB2312" w:cs="仿宋_GB2312"/>
          <w:sz w:val="28"/>
          <w:szCs w:val="28"/>
          <w:highlight w:val="none"/>
        </w:rPr>
        <w:t>除</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八</w:t>
      </w:r>
      <w:r>
        <w:rPr>
          <w:rFonts w:hint="eastAsia" w:ascii="仿宋_GB2312" w:hAnsi="仿宋_GB2312" w:eastAsia="仿宋_GB2312" w:cs="仿宋_GB2312"/>
          <w:sz w:val="28"/>
          <w:szCs w:val="28"/>
          <w:highlight w:val="none"/>
        </w:rPr>
        <w:t>、响应文件的密封和递交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各参加</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highlight w:val="none"/>
          <w:lang w:eastAsia="zh-CN"/>
        </w:rPr>
        <w:t>供应商</w:t>
      </w:r>
      <w:r>
        <w:rPr>
          <w:rFonts w:hint="eastAsia" w:ascii="仿宋_GB2312" w:hAnsi="仿宋_GB2312" w:eastAsia="仿宋_GB2312" w:cs="仿宋_GB2312"/>
          <w:sz w:val="28"/>
          <w:szCs w:val="28"/>
          <w:highlight w:val="none"/>
        </w:rPr>
        <w:t>应将其响应文件进行密封，并在封面及密封袋上注明竞争性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项目名称、单位的名称及地址。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密封口处应加盖单位公章。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rPr>
        <w:t>如果响应文件未按上述要求进行密封和标注，</w:t>
      </w:r>
      <w:r>
        <w:rPr>
          <w:rFonts w:hint="eastAsia" w:ascii="仿宋_GB2312" w:hAnsi="仿宋_GB2312" w:eastAsia="仿宋_GB2312" w:cs="仿宋_GB2312"/>
          <w:sz w:val="28"/>
          <w:szCs w:val="28"/>
          <w:highlight w:val="none"/>
          <w:lang w:eastAsia="zh-CN"/>
        </w:rPr>
        <w:t>乐山市农业农村局</w:t>
      </w:r>
      <w:r>
        <w:rPr>
          <w:rFonts w:hint="eastAsia" w:ascii="仿宋_GB2312" w:hAnsi="仿宋_GB2312" w:eastAsia="仿宋_GB2312" w:cs="仿宋_GB2312"/>
          <w:sz w:val="28"/>
          <w:szCs w:val="28"/>
          <w:highlight w:val="none"/>
        </w:rPr>
        <w:t>有权拒收且不承担任何责任。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（四）</w:t>
      </w:r>
      <w:r>
        <w:rPr>
          <w:rFonts w:hint="eastAsia" w:ascii="仿宋_GB2312" w:hAnsi="仿宋_GB2312" w:eastAsia="仿宋_GB2312" w:cs="仿宋_GB2312"/>
          <w:sz w:val="28"/>
          <w:szCs w:val="28"/>
          <w:highlight w:val="none"/>
        </w:rPr>
        <w:t>响应文件由各参加竞争性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的授权代表在规定的递交竞争性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响应文件截止时间以前带至竞争性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（五）磋商</w:t>
      </w:r>
      <w:r>
        <w:rPr>
          <w:rFonts w:hint="eastAsia" w:ascii="仿宋_GB2312" w:hAnsi="仿宋_GB2312" w:eastAsia="仿宋_GB2312" w:cs="仿宋_GB2312"/>
          <w:sz w:val="28"/>
          <w:szCs w:val="28"/>
          <w:highlight w:val="none"/>
        </w:rPr>
        <w:t>响应文件递交的截止时间为</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规定的开始时间，截止时间之后递交的响应文件采购人不予接收。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sectPr>
          <w:pgSz w:w="11906" w:h="16838"/>
          <w:pgMar w:top="1440" w:right="1800" w:bottom="1440" w:left="1800" w:header="851" w:footer="992" w:gutter="0"/>
          <w:pgNumType w:fmt="decimal"/>
          <w:cols w:space="425" w:num="1"/>
          <w:titlePg/>
          <w:docGrid w:type="lines" w:linePitch="312" w:charSpace="0"/>
        </w:sectPr>
      </w:pPr>
    </w:p>
    <w:p>
      <w:pPr>
        <w:pStyle w:val="5"/>
        <w:keepNext w:val="0"/>
        <w:keepLines w:val="0"/>
        <w:pageBreakBefore w:val="0"/>
        <w:kinsoku/>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highlight w:val="none"/>
        </w:rPr>
      </w:pPr>
      <w:bookmarkStart w:id="6" w:name="_Toc5763"/>
      <w:r>
        <w:rPr>
          <w:rFonts w:hint="eastAsia" w:ascii="仿宋_GB2312" w:hAnsi="仿宋_GB2312" w:eastAsia="仿宋_GB2312" w:cs="仿宋_GB2312"/>
          <w:highlight w:val="none"/>
          <w:lang w:val="en-US" w:eastAsia="zh-CN"/>
        </w:rPr>
        <w:t xml:space="preserve"> </w:t>
      </w:r>
      <w:bookmarkStart w:id="7" w:name="_Toc12908"/>
      <w:bookmarkStart w:id="8" w:name="_Toc26901"/>
      <w:r>
        <w:rPr>
          <w:rFonts w:hint="eastAsia" w:hAnsi="仿宋_GB2312" w:cs="仿宋_GB2312"/>
          <w:highlight w:val="none"/>
          <w:lang w:eastAsia="zh-CN"/>
        </w:rPr>
        <w:t>磋商</w:t>
      </w:r>
      <w:r>
        <w:rPr>
          <w:rFonts w:hint="eastAsia" w:ascii="仿宋_GB2312" w:hAnsi="仿宋_GB2312" w:eastAsia="仿宋_GB2312" w:cs="仿宋_GB2312"/>
          <w:highlight w:val="none"/>
        </w:rPr>
        <w:t>程序</w:t>
      </w:r>
      <w:bookmarkEnd w:id="6"/>
      <w:bookmarkEnd w:id="7"/>
      <w:bookmarkEnd w:id="8"/>
    </w:p>
    <w:p>
      <w:pPr>
        <w:pStyle w:val="3"/>
        <w:keepNext w:val="0"/>
        <w:keepLines w:val="0"/>
        <w:pageBreakBefore w:val="0"/>
        <w:numPr>
          <w:ilvl w:val="0"/>
          <w:numId w:val="0"/>
        </w:numPr>
        <w:kinsoku/>
        <w:overflowPunct/>
        <w:topLinePunct w:val="0"/>
        <w:autoSpaceDE/>
        <w:autoSpaceDN/>
        <w:bidi w:val="0"/>
        <w:adjustRightInd/>
        <w:snapToGrid/>
        <w:spacing w:after="0" w:line="360" w:lineRule="auto"/>
        <w:ind w:leftChars="200"/>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前准备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（一）各响应人递交竞争性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响应文件，并签字确认。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（二）主持人宣布竞争性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会议正式开始。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（三）主持人介绍</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小组、监督人员、各响应人及本项目相关情况。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（四）监督人员检查竞争性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申请文件的密封情况。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前准备由采购人主持，</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小组不参加</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前准备工作。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eastAsia="zh-CN"/>
        </w:rPr>
        <w:t>磋商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小组对递交的响应文件的资格性要求进行资格审查并出具资格审查报告。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小组对通过资格审查的响应人的响应文件进行符合性审查。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小组按照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文件的规定分别与通过资格审查和符合性审查的响应人进行</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顺序以递交响应文件签到的顺序确定。</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小组可以要求各响应人对</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响应文件进行澄清，若响应人拒绝对</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响应文件进行澄清，则对需要澄清的内容</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小组可做出不利于响应人的推定。各响应人提供的资料应真实可靠，</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小组经核实发现响应人提供虚假材料，将取消该响应人的竞争性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（四）经</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确定最终采购需求后，采购人和监督人员组织响应人进行现场最终报价或提交最终报价文件。最终报价不得高于《报价函》中的报价。最终报价的响应人不得少于3家，否则本次采购活动终止。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（五）推荐成交候选供应商。</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小组复核后，应当按照响应人的最终报价由低到高顺序推荐3家以上成交候选供应商，并编写</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报告。若存在2家及以上响应人最终报价相同且最低时，由采购人随机抽取确定成交供应商。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三、供应商澄清、说明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附件一：资格审查内容及通过标准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tbl>
      <w:tblPr>
        <w:tblStyle w:val="21"/>
        <w:tblW w:w="9939"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105"/>
        <w:gridCol w:w="3825"/>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项目内容</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合格条件</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经营主体资格（如营业执照、执业许可证等）</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复印件加盖公章，属于招标人要求的经营主体范围</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履行合同所必需的设备和专业技术能力</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提供资料：在承诺函中作出承诺。（承诺函内容应与此呼应）</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商业信誉和财务会计制度</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提供资料：在承诺函中作出承诺。（承诺函内容应与此呼应）</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依法缴纳税收和社会保障资金的记录</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提供资料：在承诺函中作出承诺。（承诺函内容应与此呼应）</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采购活动前三年内，在经营活动中的重大违法记录</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提供资料：在承诺函中作出承诺。（承诺函内容应与此呼应）</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31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截止投标截止日，是否处于投标限制期内</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提供资料：在承诺函中作出承诺。（承诺函内容应与此呼应）</w:t>
            </w:r>
          </w:p>
        </w:tc>
        <w:tc>
          <w:tcPr>
            <w:tcW w:w="20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sectPr>
          <w:pgSz w:w="11906" w:h="16838"/>
          <w:pgMar w:top="1440" w:right="1800" w:bottom="1440" w:left="1800" w:header="851" w:footer="992" w:gutter="0"/>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lang w:val="en-US" w:eastAsia="zh-CN"/>
        </w:rPr>
      </w:pPr>
      <w:bookmarkStart w:id="9" w:name="_Toc3337"/>
      <w:r>
        <w:rPr>
          <w:rFonts w:hint="eastAsia" w:ascii="仿宋_GB2312" w:hAnsi="仿宋_GB2312" w:eastAsia="仿宋_GB2312" w:cs="仿宋_GB2312"/>
          <w:sz w:val="28"/>
          <w:szCs w:val="28"/>
          <w:highlight w:val="none"/>
          <w:lang w:val="en-US" w:eastAsia="zh-CN"/>
        </w:rPr>
        <w:t>附件二：符合性审查表</w:t>
      </w:r>
      <w:bookmarkEnd w:id="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160"/>
        <w:gridCol w:w="342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审查内容</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合格条件</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响应文件的有效性</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按照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文件规定和要求签署并盖章</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响应文件的完整性</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有无重要内容缺失、遗漏</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代理人</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法定代表人授权书（原件）有效</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响应文件偏差</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无重大偏离</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其他对</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文件的响应程度</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不存在其它未实质性响应</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文件的内容</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2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报价未超过最高限价</w:t>
            </w:r>
          </w:p>
        </w:tc>
        <w:tc>
          <w:tcPr>
            <w:tcW w:w="34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最高限价以内</w:t>
            </w:r>
          </w:p>
        </w:tc>
        <w:tc>
          <w:tcPr>
            <w:tcW w:w="21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合格/不合格</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sectPr>
          <w:pgSz w:w="11906" w:h="16838"/>
          <w:pgMar w:top="1440" w:right="1800" w:bottom="1440" w:left="1800" w:header="851" w:footer="992" w:gutter="0"/>
          <w:pgNumType w:fmt="decimal"/>
          <w:cols w:space="425" w:num="1"/>
          <w:titlePg/>
          <w:docGrid w:type="lines" w:linePitch="312" w:charSpace="0"/>
        </w:sectPr>
      </w:pPr>
    </w:p>
    <w:p>
      <w:pPr>
        <w:pStyle w:val="5"/>
        <w:keepNext w:val="0"/>
        <w:keepLines w:val="0"/>
        <w:pageBreakBefore w:val="0"/>
        <w:kinsoku/>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highlight w:val="none"/>
          <w:lang w:val="en-US" w:eastAsia="zh-CN"/>
        </w:rPr>
      </w:pPr>
      <w:bookmarkStart w:id="10" w:name="_Toc15356"/>
      <w:bookmarkStart w:id="11" w:name="_Toc20598"/>
      <w:bookmarkStart w:id="12" w:name="_Toc49"/>
      <w:r>
        <w:rPr>
          <w:rFonts w:hint="eastAsia" w:hAnsi="仿宋_GB2312" w:cs="仿宋_GB2312"/>
          <w:highlight w:val="none"/>
          <w:lang w:val="en-US" w:eastAsia="zh-CN"/>
        </w:rPr>
        <w:t>磋商</w:t>
      </w:r>
      <w:r>
        <w:rPr>
          <w:rFonts w:hint="eastAsia" w:ascii="仿宋_GB2312" w:hAnsi="仿宋_GB2312" w:eastAsia="仿宋_GB2312" w:cs="仿宋_GB2312"/>
          <w:highlight w:val="none"/>
          <w:lang w:val="en-US" w:eastAsia="zh-CN"/>
        </w:rPr>
        <w:t>纪律和注意事项</w:t>
      </w:r>
      <w:bookmarkEnd w:id="10"/>
      <w:bookmarkEnd w:id="11"/>
      <w:bookmarkEnd w:id="12"/>
    </w:p>
    <w:p>
      <w:pPr>
        <w:pStyle w:val="3"/>
        <w:keepNext w:val="0"/>
        <w:keepLines w:val="0"/>
        <w:pageBreakBefore w:val="0"/>
        <w:numPr>
          <w:ilvl w:val="0"/>
          <w:numId w:val="0"/>
        </w:numPr>
        <w:kinsoku/>
        <w:overflowPunct/>
        <w:topLinePunct w:val="0"/>
        <w:autoSpaceDE/>
        <w:autoSpaceDN/>
        <w:bidi w:val="0"/>
        <w:adjustRightInd/>
        <w:snapToGrid/>
        <w:spacing w:after="0" w:line="360" w:lineRule="auto"/>
        <w:ind w:leftChars="200"/>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小组内部讨论的情况,任何人不得以任何形式透露给各响应人或与各响应人有关的单位或个人。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二、在</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过程中，各响应人不得以任何形式对</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小组成员进行旨在影响</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结果的私下接触，否则将取消其参与竞争性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三、对于各响应人的商业秘密，</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小组成员应予以保密，不得泄露给其他响应人。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小组成员与参与</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的响应人有利害关系的，必须回避；参与</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的服务商认为</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小组成员与参加</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的其它服务商有利害关系的，可以申请其回避。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rPr>
          <w:rFonts w:hint="eastAsia" w:ascii="仿宋_GB2312" w:hAnsi="仿宋_GB2312" w:eastAsia="仿宋_GB2312" w:cs="仿宋_GB2312"/>
          <w:highlight w:val="none"/>
          <w:lang w:val="en-US" w:eastAsia="zh-CN"/>
        </w:rPr>
      </w:pPr>
      <w:bookmarkStart w:id="13" w:name="_Toc7189"/>
      <w:bookmarkStart w:id="14" w:name="_Toc17527"/>
      <w:bookmarkStart w:id="15" w:name="_Toc21090"/>
      <w:r>
        <w:rPr>
          <w:rFonts w:hint="eastAsia" w:ascii="仿宋_GB2312" w:hAnsi="仿宋_GB2312" w:eastAsia="仿宋_GB2312" w:cs="仿宋_GB2312"/>
          <w:highlight w:val="none"/>
          <w:lang w:val="en-US" w:eastAsia="zh-CN"/>
        </w:rPr>
        <w:br w:type="page"/>
      </w:r>
    </w:p>
    <w:p>
      <w:pPr>
        <w:pStyle w:val="5"/>
        <w:keepNext w:val="0"/>
        <w:keepLines w:val="0"/>
        <w:pageBreakBefore w:val="0"/>
        <w:kinsoku/>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响应文件格式</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803" w:firstLineChars="200"/>
        <w:jc w:val="center"/>
        <w:textAlignment w:val="auto"/>
        <w:outlineLvl w:val="0"/>
        <w:rPr>
          <w:rFonts w:hint="eastAsia" w:ascii="仿宋_GB2312" w:hAnsi="仿宋_GB2312" w:eastAsia="仿宋_GB2312" w:cs="仿宋_GB2312"/>
          <w:b/>
          <w:bCs/>
          <w:sz w:val="40"/>
          <w:szCs w:val="40"/>
          <w:highlight w:val="none"/>
          <w:lang w:eastAsia="zh-CN"/>
        </w:rPr>
      </w:pPr>
      <w:r>
        <w:rPr>
          <w:rFonts w:hint="eastAsia" w:ascii="仿宋_GB2312" w:hAnsi="仿宋_GB2312" w:eastAsia="仿宋_GB2312" w:cs="仿宋_GB2312"/>
          <w:b/>
          <w:bCs/>
          <w:sz w:val="40"/>
          <w:szCs w:val="40"/>
          <w:highlight w:val="none"/>
          <w:lang w:eastAsia="zh-CN"/>
        </w:rPr>
        <w:t>XXX项目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仿宋_GB2312" w:hAnsi="仿宋_GB2312" w:eastAsia="仿宋_GB2312" w:cs="仿宋_GB2312"/>
          <w:b/>
          <w:bCs/>
          <w:sz w:val="72"/>
          <w:szCs w:val="72"/>
          <w:highlight w:val="none"/>
        </w:rPr>
      </w:pPr>
      <w:bookmarkStart w:id="16" w:name="_Toc25141"/>
      <w:bookmarkStart w:id="17" w:name="_Toc8356"/>
      <w:bookmarkStart w:id="18" w:name="_Toc30570"/>
      <w:r>
        <w:rPr>
          <w:rFonts w:hint="eastAsia" w:ascii="仿宋_GB2312" w:hAnsi="仿宋_GB2312" w:eastAsia="仿宋_GB2312" w:cs="仿宋_GB2312"/>
          <w:b/>
          <w:bCs/>
          <w:sz w:val="72"/>
          <w:szCs w:val="72"/>
          <w:highlight w:val="none"/>
        </w:rPr>
        <w:t>竞争性</w:t>
      </w:r>
      <w:r>
        <w:rPr>
          <w:rFonts w:hint="eastAsia" w:ascii="仿宋_GB2312" w:hAnsi="仿宋_GB2312" w:eastAsia="仿宋_GB2312" w:cs="仿宋_GB2312"/>
          <w:b/>
          <w:bCs/>
          <w:sz w:val="72"/>
          <w:szCs w:val="72"/>
          <w:highlight w:val="none"/>
          <w:lang w:eastAsia="zh-CN"/>
        </w:rPr>
        <w:t>磋商</w:t>
      </w:r>
      <w:r>
        <w:rPr>
          <w:rFonts w:hint="eastAsia" w:ascii="仿宋_GB2312" w:hAnsi="仿宋_GB2312" w:eastAsia="仿宋_GB2312" w:cs="仿宋_GB2312"/>
          <w:b/>
          <w:bCs/>
          <w:sz w:val="72"/>
          <w:szCs w:val="72"/>
          <w:highlight w:val="none"/>
        </w:rPr>
        <w:t>响应文件</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pStyle w:val="3"/>
        <w:keepNext w:val="0"/>
        <w:keepLines w:val="0"/>
        <w:pageBreakBefore w:val="0"/>
        <w:kinsoku/>
        <w:overflowPunct/>
        <w:topLinePunct w:val="0"/>
        <w:autoSpaceDE/>
        <w:autoSpaceDN/>
        <w:bidi w:val="0"/>
        <w:adjustRightInd/>
        <w:snapToGrid/>
        <w:spacing w:after="0" w:line="360" w:lineRule="auto"/>
        <w:textAlignment w:val="auto"/>
        <w:rPr>
          <w:rFonts w:hint="eastAsia" w:ascii="仿宋_GB2312" w:hAnsi="仿宋_GB2312" w:eastAsia="仿宋_GB2312" w:cs="仿宋_GB2312"/>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p>
    <w:p>
      <w:pPr>
        <w:pStyle w:val="3"/>
        <w:keepNext w:val="0"/>
        <w:keepLines w:val="0"/>
        <w:pageBreakBefore w:val="0"/>
        <w:kinsoku/>
        <w:overflowPunct/>
        <w:topLinePunct w:val="0"/>
        <w:autoSpaceDE/>
        <w:autoSpaceDN/>
        <w:bidi w:val="0"/>
        <w:adjustRightInd/>
        <w:snapToGrid/>
        <w:spacing w:after="0" w:line="360" w:lineRule="auto"/>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项目编号：</w:t>
      </w:r>
    </w:p>
    <w:p>
      <w:pPr>
        <w:pStyle w:val="3"/>
        <w:keepNext w:val="0"/>
        <w:keepLines w:val="0"/>
        <w:pageBreakBefore w:val="0"/>
        <w:kinsoku/>
        <w:overflowPunct/>
        <w:topLinePunct w:val="0"/>
        <w:autoSpaceDE/>
        <w:autoSpaceDN/>
        <w:bidi w:val="0"/>
        <w:adjustRightInd/>
        <w:snapToGrid/>
        <w:spacing w:after="0" w:line="360" w:lineRule="auto"/>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响应人</w:t>
      </w:r>
      <w:r>
        <w:rPr>
          <w:rFonts w:hint="eastAsia" w:ascii="仿宋_GB2312" w:hAnsi="仿宋_GB2312" w:eastAsia="仿宋_GB2312" w:cs="仿宋_GB2312"/>
          <w:sz w:val="28"/>
          <w:szCs w:val="28"/>
          <w:highlight w:val="none"/>
          <w:lang w:eastAsia="zh-CN"/>
        </w:rPr>
        <w:t>名称</w:t>
      </w:r>
      <w:r>
        <w:rPr>
          <w:rFonts w:hint="eastAsia" w:ascii="仿宋_GB2312" w:hAnsi="仿宋_GB2312" w:eastAsia="仿宋_GB2312" w:cs="仿宋_GB2312"/>
          <w:sz w:val="28"/>
          <w:szCs w:val="28"/>
          <w:highlight w:val="none"/>
        </w:rPr>
        <w:t>：                       （盖单位公章）</w:t>
      </w:r>
    </w:p>
    <w:p>
      <w:pPr>
        <w:pStyle w:val="3"/>
        <w:keepNext w:val="0"/>
        <w:keepLines w:val="0"/>
        <w:pageBreakBefore w:val="0"/>
        <w:kinsoku/>
        <w:overflowPunct/>
        <w:topLinePunct w:val="0"/>
        <w:autoSpaceDE/>
        <w:autoSpaceDN/>
        <w:bidi w:val="0"/>
        <w:adjustRightInd/>
        <w:snapToGrid/>
        <w:spacing w:after="0" w:line="360" w:lineRule="auto"/>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0"/>
        <w:rPr>
          <w:rFonts w:hint="eastAsia" w:ascii="仿宋_GB2312" w:hAnsi="仿宋_GB2312" w:eastAsia="仿宋_GB2312" w:cs="仿宋_GB2312"/>
          <w:b/>
          <w:bCs/>
          <w:sz w:val="28"/>
          <w:szCs w:val="28"/>
          <w:highlight w:val="none"/>
        </w:rPr>
      </w:pPr>
      <w:bookmarkStart w:id="19" w:name="_Toc8723"/>
      <w:bookmarkStart w:id="20" w:name="_Toc4791"/>
      <w:r>
        <w:rPr>
          <w:rFonts w:hint="eastAsia" w:ascii="仿宋_GB2312" w:hAnsi="仿宋_GB2312" w:eastAsia="仿宋_GB2312" w:cs="仿宋_GB2312"/>
          <w:b/>
          <w:bCs/>
          <w:sz w:val="28"/>
          <w:szCs w:val="28"/>
          <w:highlight w:val="none"/>
          <w:lang w:eastAsia="zh-CN"/>
        </w:rPr>
        <w:t>一、</w:t>
      </w:r>
      <w:r>
        <w:rPr>
          <w:rFonts w:hint="eastAsia" w:ascii="仿宋_GB2312" w:hAnsi="仿宋_GB2312" w:eastAsia="仿宋_GB2312" w:cs="仿宋_GB2312"/>
          <w:b/>
          <w:bCs/>
          <w:sz w:val="28"/>
          <w:szCs w:val="28"/>
          <w:highlight w:val="none"/>
        </w:rPr>
        <w:t>报 价 函</w:t>
      </w:r>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560" w:hanging="560" w:hanging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乐山市农业农村局</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我方收到</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项目名称）的</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，经详细研究，决定响应该竞争性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项目的竞争性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1、愿意按照</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中的一切要求，提供服务，以下最终报价已经确认无误：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在投标最高限价（控制价）基础上报下浮比例：</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2、我方完全理解和接受贵方</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的一切规定和要求，完全答应</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中规定的所有条件和竞争性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评审办法。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3、若我方成为成交供应商，我方将按照最终竞争性</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结果签订合同，并且严格履行合同义务。本报价函将成为合同不可分割的一部分，与合同具有同等的法律效力。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响应人</w:t>
      </w:r>
      <w:r>
        <w:rPr>
          <w:rFonts w:hint="eastAsia" w:ascii="仿宋_GB2312" w:hAnsi="仿宋_GB2312" w:eastAsia="仿宋_GB2312" w:cs="仿宋_GB2312"/>
          <w:sz w:val="28"/>
          <w:szCs w:val="28"/>
          <w:highlight w:val="none"/>
          <w:lang w:eastAsia="zh-CN"/>
        </w:rPr>
        <w:t>名称</w:t>
      </w:r>
      <w:r>
        <w:rPr>
          <w:rFonts w:hint="eastAsia" w:ascii="仿宋_GB2312" w:hAnsi="仿宋_GB2312" w:eastAsia="仿宋_GB2312" w:cs="仿宋_GB2312"/>
          <w:sz w:val="28"/>
          <w:szCs w:val="28"/>
          <w:highlight w:val="none"/>
        </w:rPr>
        <w:t>：                       （盖单位公章）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法定代表人或授权代表（签字）：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年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sectPr>
          <w:pgSz w:w="11906" w:h="16838"/>
          <w:pgMar w:top="1440" w:right="1800" w:bottom="1440" w:left="1800" w:header="851" w:footer="992" w:gutter="0"/>
          <w:pgNumType w:fmt="decimal"/>
          <w:cols w:space="425" w:num="1"/>
          <w:titlePg/>
          <w:docGrid w:type="lines" w:linePitch="312" w:charSpace="0"/>
        </w:sectPr>
      </w:pPr>
      <w:bookmarkStart w:id="21" w:name="_Toc205892809"/>
      <w:bookmarkStart w:id="22" w:name="_Toc206300320"/>
      <w:bookmarkStart w:id="23" w:name="_Toc201939012"/>
      <w:bookmarkStart w:id="24" w:name="_Toc201939158"/>
      <w:bookmarkStart w:id="25" w:name="_Toc201939317"/>
    </w:p>
    <w:bookmarkEnd w:id="21"/>
    <w:bookmarkEnd w:id="22"/>
    <w:bookmarkEnd w:id="23"/>
    <w:bookmarkEnd w:id="24"/>
    <w:bookmarkEnd w:id="25"/>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仿宋_GB2312" w:hAnsi="仿宋_GB2312" w:eastAsia="仿宋_GB2312" w:cs="仿宋_GB2312"/>
          <w:sz w:val="28"/>
          <w:szCs w:val="28"/>
          <w:highlight w:val="none"/>
        </w:rPr>
      </w:pPr>
      <w:bookmarkStart w:id="26" w:name="_Toc32097"/>
      <w:bookmarkStart w:id="27" w:name="_Toc15847"/>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法定代表人身份证明</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单位名称: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单位性质: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地    址: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成立时间: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eastAsia="zh-CN"/>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eastAsia="zh-CN"/>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日</w:t>
      </w:r>
      <w:r>
        <w:rPr>
          <w:rFonts w:hint="eastAsia" w:ascii="仿宋_GB2312" w:hAnsi="仿宋_GB2312" w:eastAsia="仿宋_GB2312" w:cs="仿宋_GB2312"/>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经营期限: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姓名:</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性别:</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年龄: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职务: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w:t>
      </w:r>
      <w:r>
        <w:rPr>
          <w:rFonts w:hint="eastAsia" w:ascii="仿宋_GB2312" w:hAnsi="仿宋_GB2312" w:eastAsia="仿宋_GB2312" w:cs="仿宋_GB2312"/>
          <w:sz w:val="28"/>
          <w:szCs w:val="28"/>
          <w:highlight w:val="none"/>
          <w:u w:val="single"/>
        </w:rPr>
        <w:t xml:space="preserve">          (响应人单位名称)         </w:t>
      </w:r>
      <w:r>
        <w:rPr>
          <w:rFonts w:hint="eastAsia" w:ascii="仿宋_GB2312" w:hAnsi="仿宋_GB2312" w:eastAsia="仿宋_GB2312" w:cs="仿宋_GB2312"/>
          <w:sz w:val="28"/>
          <w:szCs w:val="28"/>
          <w:highlight w:val="none"/>
        </w:rPr>
        <w:t>的法定代表人。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响应人</w:t>
      </w:r>
      <w:r>
        <w:rPr>
          <w:rFonts w:hint="eastAsia" w:ascii="仿宋_GB2312" w:hAnsi="仿宋_GB2312" w:eastAsia="仿宋_GB2312" w:cs="仿宋_GB2312"/>
          <w:sz w:val="28"/>
          <w:szCs w:val="28"/>
          <w:highlight w:val="none"/>
          <w:lang w:eastAsia="zh-CN"/>
        </w:rPr>
        <w:t>名称</w:t>
      </w:r>
      <w:r>
        <w:rPr>
          <w:rFonts w:hint="eastAsia" w:ascii="仿宋_GB2312" w:hAnsi="仿宋_GB2312" w:eastAsia="仿宋_GB2312" w:cs="仿宋_GB2312"/>
          <w:sz w:val="28"/>
          <w:szCs w:val="28"/>
          <w:highlight w:val="none"/>
        </w:rPr>
        <w:t>：                       （盖单位公章）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   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附法定代表人身份证复印件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仿宋_GB2312" w:hAnsi="仿宋_GB2312" w:eastAsia="仿宋_GB2312" w:cs="仿宋_GB2312"/>
          <w:sz w:val="28"/>
          <w:szCs w:val="28"/>
          <w:highlight w:val="none"/>
        </w:rPr>
      </w:pPr>
      <w:bookmarkStart w:id="28" w:name="_Toc1428"/>
      <w:bookmarkStart w:id="29" w:name="_Toc27744"/>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rPr>
        <w:t>法定代表人授权委托书</w:t>
      </w:r>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560" w:hanging="560" w:hanging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致：</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eastAsia="zh-CN"/>
        </w:rPr>
        <w:t>采购</w:t>
      </w:r>
      <w:r>
        <w:rPr>
          <w:rFonts w:hint="eastAsia" w:ascii="仿宋_GB2312" w:hAnsi="仿宋_GB2312" w:eastAsia="仿宋_GB2312" w:cs="仿宋_GB2312"/>
          <w:sz w:val="28"/>
          <w:szCs w:val="28"/>
          <w:highlight w:val="none"/>
        </w:rPr>
        <w:t xml:space="preserve">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本授权书宣告：</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申请人全称)的</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(职务)</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(姓名)合法地代表我单位，授权                          (</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 xml:space="preserve">申请人或其下属单位全称)的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(职务)</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(姓名)为我单位代理人，该代理人有权在</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项目采购的投标活动中，以我单位的名义签署投标函和投标文件、与业主协商、签订合同协议以及执行一切与此有关的事项。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授权委托人无转委托权。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特此委托。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响应人</w:t>
      </w:r>
      <w:r>
        <w:rPr>
          <w:rFonts w:hint="eastAsia" w:ascii="仿宋_GB2312" w:hAnsi="仿宋_GB2312" w:eastAsia="仿宋_GB2312" w:cs="仿宋_GB2312"/>
          <w:sz w:val="28"/>
          <w:szCs w:val="28"/>
          <w:highlight w:val="none"/>
          <w:lang w:eastAsia="zh-CN"/>
        </w:rPr>
        <w:t>名称</w:t>
      </w:r>
      <w:r>
        <w:rPr>
          <w:rFonts w:hint="eastAsia" w:ascii="仿宋_GB2312" w:hAnsi="仿宋_GB2312" w:eastAsia="仿宋_GB2312" w:cs="仿宋_GB2312"/>
          <w:sz w:val="28"/>
          <w:szCs w:val="28"/>
          <w:highlight w:val="none"/>
        </w:rPr>
        <w:t>：                       （盖单位公章）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法定代表人 (签字或盖章)：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委托代理人：          （签字）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      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附授权代理人身份证复印件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pStyle w:val="3"/>
        <w:keepNext w:val="0"/>
        <w:keepLines w:val="0"/>
        <w:pageBreakBefore w:val="0"/>
        <w:kinsoku/>
        <w:overflowPunct/>
        <w:topLinePunct w:val="0"/>
        <w:autoSpaceDE/>
        <w:autoSpaceDN/>
        <w:bidi w:val="0"/>
        <w:adjustRightInd/>
        <w:snapToGrid/>
        <w:spacing w:after="0" w:line="360" w:lineRule="auto"/>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highlight w:val="none"/>
          <w:lang w:eastAsia="zh-CN"/>
        </w:rPr>
        <w:sectPr>
          <w:pgSz w:w="11906" w:h="16838"/>
          <w:pgMar w:top="1440" w:right="1800" w:bottom="1440" w:left="1800" w:header="851" w:footer="992" w:gutter="0"/>
          <w:pgNumType w:fmt="decimal"/>
          <w:cols w:space="425" w:num="1"/>
          <w:titlePg/>
          <w:docGrid w:type="lines" w:linePitch="312" w:charSpace="0"/>
        </w:sectPr>
      </w:pPr>
      <w:r>
        <w:rPr>
          <w:rFonts w:hint="eastAsia" w:ascii="仿宋_GB2312" w:hAnsi="仿宋_GB2312" w:eastAsia="仿宋_GB2312" w:cs="仿宋_GB2312"/>
          <w:sz w:val="28"/>
          <w:szCs w:val="28"/>
          <w:highlight w:val="none"/>
          <w:lang w:eastAsia="zh-CN"/>
        </w:rPr>
        <w:t>注：法定代表人亲自参与则不提供。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仿宋_GB2312" w:hAnsi="仿宋_GB2312" w:eastAsia="仿宋_GB2312" w:cs="仿宋_GB2312"/>
          <w:sz w:val="28"/>
          <w:szCs w:val="28"/>
          <w:highlight w:val="none"/>
        </w:rPr>
      </w:pPr>
      <w:bookmarkStart w:id="30" w:name="_Toc5312"/>
      <w:bookmarkStart w:id="31" w:name="_Toc28799"/>
      <w:bookmarkStart w:id="32" w:name="_Toc9313"/>
      <w:r>
        <w:rPr>
          <w:rFonts w:hint="eastAsia" w:ascii="仿宋_GB2312" w:hAnsi="仿宋_GB2312" w:eastAsia="仿宋_GB2312" w:cs="仿宋_GB2312"/>
          <w:sz w:val="28"/>
          <w:szCs w:val="28"/>
          <w:highlight w:val="none"/>
          <w:lang w:val="en-US" w:eastAsia="zh-CN"/>
        </w:rPr>
        <w:t>四、响应人一般情况表</w:t>
      </w:r>
      <w:bookmarkEnd w:id="30"/>
      <w:bookmarkEnd w:id="31"/>
      <w:bookmarkEnd w:id="32"/>
    </w:p>
    <w:tbl>
      <w:tblPr>
        <w:tblStyle w:val="21"/>
        <w:tblW w:w="964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2"/>
        <w:gridCol w:w="49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64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企业名称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64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地址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468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电话      </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468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传真</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468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注册地</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注册年份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50" w:hRule="atLeast"/>
          <w:jc w:val="center"/>
        </w:trPr>
        <w:tc>
          <w:tcPr>
            <w:tcW w:w="964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营业范围：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1、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2、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3、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964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其他需要说明的情况</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注：本表须附企业营业执照及其他相关证件复印件；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响应人</w:t>
      </w:r>
      <w:r>
        <w:rPr>
          <w:rFonts w:hint="eastAsia" w:ascii="仿宋_GB2312" w:hAnsi="仿宋_GB2312" w:eastAsia="仿宋_GB2312" w:cs="仿宋_GB2312"/>
          <w:sz w:val="28"/>
          <w:szCs w:val="28"/>
          <w:highlight w:val="none"/>
          <w:lang w:eastAsia="zh-CN"/>
        </w:rPr>
        <w:t>名称</w:t>
      </w:r>
      <w:r>
        <w:rPr>
          <w:rFonts w:hint="eastAsia" w:ascii="仿宋_GB2312" w:hAnsi="仿宋_GB2312" w:eastAsia="仿宋_GB2312" w:cs="仿宋_GB2312"/>
          <w:sz w:val="28"/>
          <w:szCs w:val="28"/>
          <w:highlight w:val="none"/>
        </w:rPr>
        <w:t>：                       （盖单位公章）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法定代表人或授权代表（签字）：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年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sectPr>
          <w:pgSz w:w="11906" w:h="16838"/>
          <w:pgMar w:top="1440" w:right="1800" w:bottom="1440" w:left="1800" w:header="851" w:footer="992" w:gutter="0"/>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仿宋_GB2312" w:hAnsi="仿宋_GB2312" w:eastAsia="仿宋_GB2312" w:cs="仿宋_GB2312"/>
          <w:sz w:val="28"/>
          <w:szCs w:val="28"/>
          <w:highlight w:val="none"/>
        </w:rPr>
      </w:pPr>
      <w:bookmarkStart w:id="33" w:name="_Toc30615"/>
      <w:bookmarkStart w:id="34" w:name="_Toc19863"/>
      <w:r>
        <w:rPr>
          <w:rFonts w:hint="eastAsia" w:ascii="仿宋_GB2312" w:hAnsi="仿宋_GB2312" w:eastAsia="仿宋_GB2312" w:cs="仿宋_GB2312"/>
          <w:sz w:val="28"/>
          <w:szCs w:val="28"/>
          <w:highlight w:val="none"/>
          <w:lang w:eastAsia="zh-CN"/>
        </w:rPr>
        <w:t>五、</w:t>
      </w:r>
      <w:r>
        <w:rPr>
          <w:rFonts w:hint="eastAsia" w:ascii="仿宋_GB2312" w:hAnsi="仿宋_GB2312" w:eastAsia="仿宋_GB2312" w:cs="仿宋_GB2312"/>
          <w:sz w:val="28"/>
          <w:szCs w:val="28"/>
          <w:highlight w:val="none"/>
        </w:rPr>
        <w:t>承诺函</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乐山市农业农村局</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我公司作为本次采购项目的响应人，根据</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文件要求，现郑重承诺如下：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一、具备本项目规定资格的条件，不存在禁止投标的情形：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5.参加此项采购活动前三年内，在经营活动中没有重大违法记录；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r>
        <w:rPr>
          <w:rFonts w:hint="eastAsia" w:ascii="仿宋_GB2312" w:hAnsi="仿宋_GB2312" w:eastAsia="仿宋_GB2312" w:cs="仿宋_GB2312"/>
          <w:sz w:val="28"/>
          <w:szCs w:val="28"/>
          <w:highlight w:val="none"/>
          <w:lang w:eastAsia="zh-CN"/>
        </w:rPr>
        <w:t>满足</w:t>
      </w:r>
      <w:r>
        <w:rPr>
          <w:rFonts w:hint="eastAsia" w:ascii="仿宋_GB2312" w:hAnsi="仿宋_GB2312" w:eastAsia="仿宋_GB2312" w:cs="仿宋_GB2312"/>
          <w:sz w:val="28"/>
          <w:szCs w:val="28"/>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r>
        <w:rPr>
          <w:rFonts w:hint="eastAsia" w:ascii="仿宋_GB2312" w:hAnsi="仿宋_GB2312" w:eastAsia="仿宋_GB2312" w:cs="仿宋_GB2312"/>
          <w:sz w:val="28"/>
          <w:szCs w:val="28"/>
          <w:highlight w:val="none"/>
          <w:lang w:eastAsia="zh-CN"/>
        </w:rPr>
        <w:t>非</w:t>
      </w:r>
      <w:r>
        <w:rPr>
          <w:rFonts w:hint="eastAsia" w:ascii="仿宋_GB2312" w:hAnsi="仿宋_GB2312" w:eastAsia="仿宋_GB2312" w:cs="仿宋_GB2312"/>
          <w:sz w:val="28"/>
          <w:szCs w:val="28"/>
          <w:highlight w:val="none"/>
        </w:rPr>
        <w:t>联合体参加。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二、完全接受和满足本项目</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文件中规定的实质性要求。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三、参加本次采购活动，不存在和其他响应人在同一合同项下的采购项目中，同时委托同一个自然人、同一家庭的人员、同一单位的人员作为授权代表或响应人的行为。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四、响应文件中提供的任何材料资料和商务、技术、服务等响应承诺情况都是真实的、有效的、合法的。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本公司对上述承诺的内容事项真实性负责。如经查实上述承诺的内容事项存在虚假，我公司愿意接受以提供虚假材料谋取</w:t>
      </w:r>
      <w:r>
        <w:rPr>
          <w:rFonts w:hint="eastAsia" w:ascii="仿宋_GB2312" w:hAnsi="仿宋_GB2312" w:eastAsia="仿宋_GB2312" w:cs="仿宋_GB2312"/>
          <w:sz w:val="28"/>
          <w:szCs w:val="28"/>
          <w:highlight w:val="none"/>
          <w:lang w:eastAsia="zh-CN"/>
        </w:rPr>
        <w:t>成交</w:t>
      </w:r>
      <w:r>
        <w:rPr>
          <w:rFonts w:hint="eastAsia" w:ascii="仿宋_GB2312" w:hAnsi="仿宋_GB2312" w:eastAsia="仿宋_GB2312" w:cs="仿宋_GB2312"/>
          <w:sz w:val="28"/>
          <w:szCs w:val="28"/>
          <w:highlight w:val="none"/>
        </w:rPr>
        <w:t>追究法律责任。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响应人名称：                （盖单位公章）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法定代表人或授权代表（签字）：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bookmarkStart w:id="35" w:name="_Toc206300321"/>
      <w:r>
        <w:rPr>
          <w:rFonts w:hint="eastAsia" w:ascii="仿宋_GB2312" w:hAnsi="仿宋_GB2312" w:eastAsia="仿宋_GB2312" w:cs="仿宋_GB2312"/>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0"/>
        <w:rPr>
          <w:rFonts w:hint="eastAsia" w:ascii="仿宋_GB2312" w:hAnsi="仿宋_GB2312" w:eastAsia="仿宋_GB2312" w:cs="仿宋_GB2312"/>
          <w:sz w:val="28"/>
          <w:szCs w:val="28"/>
          <w:highlight w:val="none"/>
        </w:rPr>
      </w:pPr>
      <w:bookmarkStart w:id="36" w:name="_Toc25901"/>
      <w:bookmarkStart w:id="37" w:name="_Toc11702"/>
      <w:r>
        <w:rPr>
          <w:rFonts w:hint="eastAsia" w:ascii="仿宋_GB2312" w:hAnsi="仿宋_GB2312" w:eastAsia="仿宋_GB2312" w:cs="仿宋_GB2312"/>
          <w:sz w:val="28"/>
          <w:szCs w:val="28"/>
          <w:highlight w:val="none"/>
        </w:rPr>
        <w:t>其他内容</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要求的其它内容及资料</w:t>
      </w:r>
      <w:r>
        <w:rPr>
          <w:rFonts w:hint="eastAsia" w:ascii="仿宋_GB2312" w:hAnsi="仿宋_GB2312" w:eastAsia="仿宋_GB2312" w:cs="仿宋_GB2312"/>
          <w:sz w:val="28"/>
          <w:szCs w:val="28"/>
          <w:highlight w:val="none"/>
          <w:lang w:eastAsia="zh-CN"/>
        </w:rPr>
        <w:t>和磋商申请人认为需要提供的资料。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注：以上资料需作为</w:t>
      </w:r>
      <w:r>
        <w:rPr>
          <w:rFonts w:hint="eastAsia" w:ascii="仿宋_GB2312" w:hAnsi="仿宋_GB2312" w:eastAsia="仿宋_GB2312" w:cs="仿宋_GB2312"/>
          <w:sz w:val="28"/>
          <w:szCs w:val="28"/>
          <w:highlight w:val="none"/>
          <w:lang w:eastAsia="zh-CN"/>
        </w:rPr>
        <w:t>竞争性磋商文件</w:t>
      </w:r>
      <w:r>
        <w:rPr>
          <w:rFonts w:hint="eastAsia" w:ascii="仿宋_GB2312" w:hAnsi="仿宋_GB2312" w:eastAsia="仿宋_GB2312" w:cs="仿宋_GB2312"/>
          <w:sz w:val="28"/>
          <w:szCs w:val="28"/>
          <w:highlight w:val="none"/>
        </w:rPr>
        <w:t>密封后递交，没有规定格式的请各</w:t>
      </w:r>
      <w:r>
        <w:rPr>
          <w:rFonts w:hint="eastAsia" w:ascii="仿宋_GB2312" w:hAnsi="仿宋_GB2312" w:eastAsia="仿宋_GB2312" w:cs="仿宋_GB2312"/>
          <w:sz w:val="28"/>
          <w:szCs w:val="28"/>
          <w:highlight w:val="none"/>
          <w:lang w:eastAsia="zh-CN"/>
        </w:rPr>
        <w:t>磋商</w:t>
      </w:r>
      <w:r>
        <w:rPr>
          <w:rFonts w:hint="eastAsia" w:ascii="仿宋_GB2312" w:hAnsi="仿宋_GB2312" w:eastAsia="仿宋_GB2312" w:cs="仿宋_GB2312"/>
          <w:sz w:val="28"/>
          <w:szCs w:val="28"/>
          <w:highlight w:val="none"/>
        </w:rPr>
        <w:t>申请人自行设计格式编写。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highlight w:val="none"/>
          <w:lang w:val="en-US" w:eastAsia="zh-CN"/>
        </w:rPr>
      </w:pPr>
    </w:p>
    <w:sectPr>
      <w:headerReference r:id="rId8" w:type="even"/>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à.ā">
    <w:altName w:val="新宋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3</w:t>
    </w:r>
    <w:r>
      <w:rPr>
        <w:rStyle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4"/>
                            </w:rPr>
                          </w:pPr>
                          <w:r>
                            <w:rPr>
                              <w:rStyle w:val="24"/>
                            </w:rPr>
                            <w:fldChar w:fldCharType="begin"/>
                          </w:r>
                          <w:r>
                            <w:rPr>
                              <w:rStyle w:val="24"/>
                            </w:rPr>
                            <w:instrText xml:space="preserve">PAGE  </w:instrText>
                          </w:r>
                          <w:r>
                            <w:rPr>
                              <w:rStyle w:val="24"/>
                            </w:rPr>
                            <w:fldChar w:fldCharType="separate"/>
                          </w:r>
                          <w:r>
                            <w:rPr>
                              <w:rStyle w:val="24"/>
                            </w:rPr>
                            <w:t>3</w:t>
                          </w:r>
                          <w:r>
                            <w:rPr>
                              <w:rStyle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14"/>
                      <w:rPr>
                        <w:rStyle w:val="24"/>
                      </w:rPr>
                    </w:pPr>
                    <w:r>
                      <w:rPr>
                        <w:rStyle w:val="24"/>
                      </w:rPr>
                      <w:fldChar w:fldCharType="begin"/>
                    </w:r>
                    <w:r>
                      <w:rPr>
                        <w:rStyle w:val="24"/>
                      </w:rPr>
                      <w:instrText xml:space="preserve">PAGE  </w:instrText>
                    </w:r>
                    <w:r>
                      <w:rPr>
                        <w:rStyle w:val="24"/>
                      </w:rPr>
                      <w:fldChar w:fldCharType="separate"/>
                    </w:r>
                    <w:r>
                      <w:rPr>
                        <w:rStyle w:val="24"/>
                      </w:rPr>
                      <w:t>3</w:t>
                    </w:r>
                    <w:r>
                      <w:rPr>
                        <w:rStyle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14"/>
                      <w:jc w:val="center"/>
                    </w:pP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D0740"/>
    <w:multiLevelType w:val="multilevel"/>
    <w:tmpl w:val="4AFD0740"/>
    <w:lvl w:ilvl="0" w:tentative="0">
      <w:start w:val="1"/>
      <w:numFmt w:val="japaneseCounting"/>
      <w:pStyle w:val="5"/>
      <w:lvlText w:val="第%1章"/>
      <w:lvlJc w:val="left"/>
      <w:pPr>
        <w:tabs>
          <w:tab w:val="left" w:pos="1440"/>
        </w:tabs>
        <w:ind w:left="1440" w:hanging="1440"/>
      </w:pPr>
      <w:rPr>
        <w:rFonts w:hint="eastAsia"/>
      </w:rPr>
    </w:lvl>
    <w:lvl w:ilvl="1" w:tentative="0">
      <w:start w:val="1"/>
      <w:numFmt w:val="decimal"/>
      <w:lvlText w:val="%2、"/>
      <w:lvlJc w:val="left"/>
      <w:pPr>
        <w:tabs>
          <w:tab w:val="left" w:pos="1140"/>
        </w:tabs>
        <w:ind w:left="1140" w:hanging="7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E5562DD"/>
    <w:multiLevelType w:val="multilevel"/>
    <w:tmpl w:val="4E5562DD"/>
    <w:lvl w:ilvl="0" w:tentative="0">
      <w:start w:val="1"/>
      <w:numFmt w:val="decimal"/>
      <w:lvlText w:val="%1."/>
      <w:lvlJc w:val="left"/>
      <w:pPr>
        <w:tabs>
          <w:tab w:val="left" w:pos="800"/>
        </w:tabs>
        <w:ind w:left="800" w:hanging="800"/>
      </w:pPr>
      <w:rPr>
        <w:rFonts w:hint="eastAsia"/>
      </w:rPr>
    </w:lvl>
    <w:lvl w:ilvl="1" w:tentative="0">
      <w:start w:val="1"/>
      <w:numFmt w:val="decimal"/>
      <w:pStyle w:val="6"/>
      <w:lvlText w:val="1.%2"/>
      <w:lvlJc w:val="left"/>
      <w:pPr>
        <w:tabs>
          <w:tab w:val="left" w:pos="357"/>
        </w:tabs>
        <w:ind w:left="357" w:hanging="357"/>
      </w:pPr>
      <w:rPr>
        <w:rFonts w:hint="eastAsia"/>
      </w:rPr>
    </w:lvl>
    <w:lvl w:ilvl="2" w:tentative="0">
      <w:start w:val="1"/>
      <w:numFmt w:val="decimal"/>
      <w:pStyle w:val="7"/>
      <w:lvlText w:val="1.%2.%3"/>
      <w:lvlJc w:val="left"/>
      <w:pPr>
        <w:tabs>
          <w:tab w:val="left" w:pos="499"/>
        </w:tabs>
        <w:ind w:left="499" w:hanging="499"/>
      </w:pPr>
      <w:rPr>
        <w:rFonts w:hint="eastAsia"/>
      </w:rPr>
    </w:lvl>
    <w:lvl w:ilvl="3" w:tentative="0">
      <w:start w:val="1"/>
      <w:numFmt w:val="decimal"/>
      <w:lvlText w:val="%1.%2.%3.%4"/>
      <w:lvlJc w:val="left"/>
      <w:pPr>
        <w:tabs>
          <w:tab w:val="left" w:pos="641"/>
        </w:tabs>
        <w:ind w:left="641" w:hanging="641"/>
      </w:pPr>
      <w:rPr>
        <w:rFonts w:hint="eastAsia"/>
      </w:rPr>
    </w:lvl>
    <w:lvl w:ilvl="4" w:tentative="0">
      <w:start w:val="1"/>
      <w:numFmt w:val="decimal"/>
      <w:lvlText w:val="%1.%2.%3.%4.%5"/>
      <w:lvlJc w:val="left"/>
      <w:pPr>
        <w:tabs>
          <w:tab w:val="left" w:pos="782"/>
        </w:tabs>
        <w:ind w:left="782" w:hanging="782"/>
      </w:pPr>
      <w:rPr>
        <w:rFonts w:hint="eastAsia"/>
      </w:rPr>
    </w:lvl>
    <w:lvl w:ilvl="5" w:tentative="0">
      <w:start w:val="1"/>
      <w:numFmt w:val="decimal"/>
      <w:lvlText w:val="%1.%2.%3.%4.%5.%6"/>
      <w:lvlJc w:val="left"/>
      <w:pPr>
        <w:tabs>
          <w:tab w:val="left" w:pos="924"/>
        </w:tabs>
        <w:ind w:left="924" w:hanging="924"/>
      </w:pPr>
      <w:rPr>
        <w:rFonts w:hint="eastAsia"/>
      </w:rPr>
    </w:lvl>
    <w:lvl w:ilvl="6" w:tentative="0">
      <w:start w:val="1"/>
      <w:numFmt w:val="decimal"/>
      <w:lvlText w:val="%1.%2.%3.%4.%5.%6.%7"/>
      <w:lvlJc w:val="left"/>
      <w:pPr>
        <w:tabs>
          <w:tab w:val="left" w:pos="1066"/>
        </w:tabs>
        <w:ind w:left="1066" w:hanging="1066"/>
      </w:pPr>
      <w:rPr>
        <w:rFonts w:hint="eastAsia"/>
      </w:rPr>
    </w:lvl>
    <w:lvl w:ilvl="7" w:tentative="0">
      <w:start w:val="1"/>
      <w:numFmt w:val="decimal"/>
      <w:lvlText w:val="%1.%2.%3.%4.%5.%6.%7.%8"/>
      <w:lvlJc w:val="left"/>
      <w:pPr>
        <w:tabs>
          <w:tab w:val="left" w:pos="1208"/>
        </w:tabs>
        <w:ind w:left="1208" w:hanging="1208"/>
      </w:pPr>
      <w:rPr>
        <w:rFonts w:hint="eastAsia"/>
      </w:rPr>
    </w:lvl>
    <w:lvl w:ilvl="8" w:tentative="0">
      <w:start w:val="1"/>
      <w:numFmt w:val="decimal"/>
      <w:lvlText w:val="%1.%2.%3.%4.%5.%6.%7.%8.%9"/>
      <w:lvlJc w:val="left"/>
      <w:pPr>
        <w:tabs>
          <w:tab w:val="left" w:pos="1349"/>
        </w:tabs>
        <w:ind w:left="1349" w:hanging="134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84"/>
    <w:rsid w:val="00011FEF"/>
    <w:rsid w:val="0003408C"/>
    <w:rsid w:val="00040DF8"/>
    <w:rsid w:val="0004213C"/>
    <w:rsid w:val="00091E0F"/>
    <w:rsid w:val="000A4647"/>
    <w:rsid w:val="000C44B7"/>
    <w:rsid w:val="000D79BC"/>
    <w:rsid w:val="000F7D89"/>
    <w:rsid w:val="001622D1"/>
    <w:rsid w:val="0018128B"/>
    <w:rsid w:val="001C4D85"/>
    <w:rsid w:val="001F61D8"/>
    <w:rsid w:val="00204C26"/>
    <w:rsid w:val="0021584E"/>
    <w:rsid w:val="00234826"/>
    <w:rsid w:val="00236D62"/>
    <w:rsid w:val="0024502F"/>
    <w:rsid w:val="0029286B"/>
    <w:rsid w:val="002935F0"/>
    <w:rsid w:val="002C28C7"/>
    <w:rsid w:val="002E067B"/>
    <w:rsid w:val="002E7F90"/>
    <w:rsid w:val="002F69F0"/>
    <w:rsid w:val="003408DF"/>
    <w:rsid w:val="003776B7"/>
    <w:rsid w:val="00411629"/>
    <w:rsid w:val="004463AB"/>
    <w:rsid w:val="00451FEE"/>
    <w:rsid w:val="00471413"/>
    <w:rsid w:val="0048233E"/>
    <w:rsid w:val="004C3927"/>
    <w:rsid w:val="004E554A"/>
    <w:rsid w:val="0055247F"/>
    <w:rsid w:val="00590196"/>
    <w:rsid w:val="00592CE6"/>
    <w:rsid w:val="005931B3"/>
    <w:rsid w:val="00593D13"/>
    <w:rsid w:val="005D7BE3"/>
    <w:rsid w:val="005E3E19"/>
    <w:rsid w:val="005F0B5A"/>
    <w:rsid w:val="005F3096"/>
    <w:rsid w:val="005F35D6"/>
    <w:rsid w:val="00617AA3"/>
    <w:rsid w:val="00621DAE"/>
    <w:rsid w:val="006370AC"/>
    <w:rsid w:val="00641DE1"/>
    <w:rsid w:val="00660BCE"/>
    <w:rsid w:val="006852F8"/>
    <w:rsid w:val="006A46DE"/>
    <w:rsid w:val="006B2DA2"/>
    <w:rsid w:val="00716AD0"/>
    <w:rsid w:val="007201AB"/>
    <w:rsid w:val="007278DA"/>
    <w:rsid w:val="00763E95"/>
    <w:rsid w:val="00770E0C"/>
    <w:rsid w:val="007739B9"/>
    <w:rsid w:val="007802FB"/>
    <w:rsid w:val="00795800"/>
    <w:rsid w:val="007A2903"/>
    <w:rsid w:val="007C04DF"/>
    <w:rsid w:val="008001F7"/>
    <w:rsid w:val="008134FE"/>
    <w:rsid w:val="008214C9"/>
    <w:rsid w:val="008316AE"/>
    <w:rsid w:val="00833F04"/>
    <w:rsid w:val="0085130F"/>
    <w:rsid w:val="008574A7"/>
    <w:rsid w:val="00887BF6"/>
    <w:rsid w:val="008962D8"/>
    <w:rsid w:val="008B4329"/>
    <w:rsid w:val="008B5806"/>
    <w:rsid w:val="00925C36"/>
    <w:rsid w:val="00980238"/>
    <w:rsid w:val="009C3791"/>
    <w:rsid w:val="00A17F42"/>
    <w:rsid w:val="00A269A2"/>
    <w:rsid w:val="00A34CDE"/>
    <w:rsid w:val="00A56584"/>
    <w:rsid w:val="00A60A45"/>
    <w:rsid w:val="00A624D4"/>
    <w:rsid w:val="00A941E4"/>
    <w:rsid w:val="00A96795"/>
    <w:rsid w:val="00A96F96"/>
    <w:rsid w:val="00AA142D"/>
    <w:rsid w:val="00AB0A3C"/>
    <w:rsid w:val="00AB2B4E"/>
    <w:rsid w:val="00AB5BED"/>
    <w:rsid w:val="00AD4E23"/>
    <w:rsid w:val="00AF19A1"/>
    <w:rsid w:val="00B00EFE"/>
    <w:rsid w:val="00B20CCA"/>
    <w:rsid w:val="00B2638C"/>
    <w:rsid w:val="00B57065"/>
    <w:rsid w:val="00B62AEA"/>
    <w:rsid w:val="00B87B14"/>
    <w:rsid w:val="00BA18D4"/>
    <w:rsid w:val="00BD0198"/>
    <w:rsid w:val="00BE0612"/>
    <w:rsid w:val="00C0741A"/>
    <w:rsid w:val="00C11657"/>
    <w:rsid w:val="00C25E74"/>
    <w:rsid w:val="00C32E58"/>
    <w:rsid w:val="00C468C3"/>
    <w:rsid w:val="00C5581B"/>
    <w:rsid w:val="00C805C1"/>
    <w:rsid w:val="00C97D6F"/>
    <w:rsid w:val="00CA4D90"/>
    <w:rsid w:val="00CB470B"/>
    <w:rsid w:val="00CB6898"/>
    <w:rsid w:val="00CD1F71"/>
    <w:rsid w:val="00CF0919"/>
    <w:rsid w:val="00CF1F51"/>
    <w:rsid w:val="00CF2378"/>
    <w:rsid w:val="00D15AE7"/>
    <w:rsid w:val="00D2079D"/>
    <w:rsid w:val="00D46A5E"/>
    <w:rsid w:val="00D50997"/>
    <w:rsid w:val="00D54998"/>
    <w:rsid w:val="00D56081"/>
    <w:rsid w:val="00D61945"/>
    <w:rsid w:val="00D96185"/>
    <w:rsid w:val="00DA135F"/>
    <w:rsid w:val="00DD1D0F"/>
    <w:rsid w:val="00DD2382"/>
    <w:rsid w:val="00E01951"/>
    <w:rsid w:val="00E04A54"/>
    <w:rsid w:val="00E264D9"/>
    <w:rsid w:val="00E80D95"/>
    <w:rsid w:val="00E90767"/>
    <w:rsid w:val="00E92B6F"/>
    <w:rsid w:val="00EA1F60"/>
    <w:rsid w:val="00EB3FD4"/>
    <w:rsid w:val="00EC3B03"/>
    <w:rsid w:val="00EC6A40"/>
    <w:rsid w:val="00F01971"/>
    <w:rsid w:val="00F12C1A"/>
    <w:rsid w:val="00F34524"/>
    <w:rsid w:val="00F63D78"/>
    <w:rsid w:val="00FB17AE"/>
    <w:rsid w:val="00FD1147"/>
    <w:rsid w:val="00FD2D09"/>
    <w:rsid w:val="00FD3DC1"/>
    <w:rsid w:val="00FD5F0D"/>
    <w:rsid w:val="02EC18E4"/>
    <w:rsid w:val="08B27AE9"/>
    <w:rsid w:val="17C9574F"/>
    <w:rsid w:val="1AE97579"/>
    <w:rsid w:val="1FED8C7D"/>
    <w:rsid w:val="24E85805"/>
    <w:rsid w:val="28055715"/>
    <w:rsid w:val="29E12C5F"/>
    <w:rsid w:val="36CB73C8"/>
    <w:rsid w:val="38CF4650"/>
    <w:rsid w:val="3C6B40EA"/>
    <w:rsid w:val="431BC556"/>
    <w:rsid w:val="4F202CC3"/>
    <w:rsid w:val="51166AAB"/>
    <w:rsid w:val="59021886"/>
    <w:rsid w:val="5D8C7CB1"/>
    <w:rsid w:val="5FFDB744"/>
    <w:rsid w:val="662002AC"/>
    <w:rsid w:val="67DBB60E"/>
    <w:rsid w:val="6BFB7C8F"/>
    <w:rsid w:val="6FA148F0"/>
    <w:rsid w:val="7D290BC0"/>
    <w:rsid w:val="7EDF6C4F"/>
    <w:rsid w:val="F66E9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5"/>
    <w:qFormat/>
    <w:uiPriority w:val="0"/>
    <w:pPr>
      <w:numPr>
        <w:ilvl w:val="0"/>
        <w:numId w:val="1"/>
      </w:numPr>
      <w:spacing w:before="360" w:after="360"/>
      <w:jc w:val="center"/>
      <w:outlineLvl w:val="0"/>
    </w:pPr>
    <w:rPr>
      <w:rFonts w:ascii="仿宋_GB2312" w:eastAsia="仿宋_GB2312"/>
      <w:b/>
      <w:sz w:val="44"/>
      <w:szCs w:val="44"/>
    </w:rPr>
  </w:style>
  <w:style w:type="paragraph" w:styleId="6">
    <w:name w:val="heading 2"/>
    <w:next w:val="1"/>
    <w:link w:val="27"/>
    <w:qFormat/>
    <w:uiPriority w:val="0"/>
    <w:pPr>
      <w:keepNext/>
      <w:keepLines/>
      <w:numPr>
        <w:ilvl w:val="1"/>
        <w:numId w:val="2"/>
      </w:numPr>
      <w:spacing w:line="440" w:lineRule="atLeast"/>
      <w:ind w:left="0" w:firstLine="0"/>
      <w:jc w:val="center"/>
      <w:outlineLvl w:val="1"/>
    </w:pPr>
    <w:rPr>
      <w:rFonts w:ascii="宋体" w:hAnsi="宋体" w:eastAsia="仿宋_GB2312" w:cs="Times New Roman"/>
      <w:b/>
      <w:kern w:val="2"/>
      <w:sz w:val="36"/>
      <w:szCs w:val="28"/>
      <w:lang w:val="en-US" w:eastAsia="zh-CN" w:bidi="ar-SA"/>
    </w:rPr>
  </w:style>
  <w:style w:type="paragraph" w:styleId="7">
    <w:name w:val="heading 3"/>
    <w:next w:val="1"/>
    <w:link w:val="26"/>
    <w:qFormat/>
    <w:uiPriority w:val="0"/>
    <w:pPr>
      <w:keepNext/>
      <w:keepLines/>
      <w:numPr>
        <w:ilvl w:val="2"/>
        <w:numId w:val="2"/>
      </w:numPr>
      <w:spacing w:before="120" w:after="120"/>
      <w:outlineLvl w:val="2"/>
    </w:pPr>
    <w:rPr>
      <w:rFonts w:ascii="仿宋_GB2312" w:hAnsi="宋体" w:eastAsia="仿宋_GB2312" w:cs="Times New Roman"/>
      <w:b/>
      <w:kern w:val="2"/>
      <w:sz w:val="28"/>
      <w:szCs w:val="28"/>
      <w:lang w:val="en-US" w:eastAsia="zh-CN" w:bidi="ar-SA"/>
    </w:rPr>
  </w:style>
  <w:style w:type="paragraph" w:styleId="8">
    <w:name w:val="heading 4"/>
    <w:next w:val="1"/>
    <w:link w:val="28"/>
    <w:qFormat/>
    <w:uiPriority w:val="0"/>
    <w:pPr>
      <w:outlineLvl w:val="3"/>
    </w:pPr>
    <w:rPr>
      <w:rFonts w:ascii="宋体" w:hAnsi="宋体" w:eastAsia="宋体" w:cs="Times New Roman"/>
      <w:b/>
      <w:bCs/>
      <w:kern w:val="2"/>
      <w:sz w:val="32"/>
      <w:szCs w:val="32"/>
      <w:lang w:val="en-US" w:eastAsia="zh-CN" w:bidi="ar-SA"/>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link w:val="37"/>
    <w:qFormat/>
    <w:uiPriority w:val="99"/>
    <w:pPr>
      <w:spacing w:after="120"/>
    </w:pPr>
  </w:style>
  <w:style w:type="paragraph" w:styleId="4">
    <w:name w:val="toc 2"/>
    <w:basedOn w:val="1"/>
    <w:next w:val="1"/>
    <w:qFormat/>
    <w:uiPriority w:val="0"/>
    <w:pPr>
      <w:tabs>
        <w:tab w:val="right" w:leader="dot" w:pos="8400"/>
      </w:tabs>
      <w:ind w:left="210"/>
      <w:jc w:val="left"/>
    </w:pPr>
    <w:rPr>
      <w:rFonts w:ascii="宋体" w:hAnsi="宋体"/>
      <w:b/>
      <w:bCs/>
      <w:smallCaps/>
      <w:sz w:val="24"/>
      <w:szCs w:val="24"/>
    </w:rPr>
  </w:style>
  <w:style w:type="paragraph" w:styleId="9">
    <w:name w:val="List 3"/>
    <w:basedOn w:val="1"/>
    <w:qFormat/>
    <w:uiPriority w:val="0"/>
    <w:pPr>
      <w:ind w:left="100" w:leftChars="400" w:hanging="200" w:hangingChars="200"/>
      <w:contextualSpacing/>
    </w:pPr>
  </w:style>
  <w:style w:type="paragraph" w:styleId="10">
    <w:name w:val="Normal Indent"/>
    <w:basedOn w:val="1"/>
    <w:qFormat/>
    <w:uiPriority w:val="0"/>
    <w:pPr>
      <w:ind w:firstLine="420"/>
    </w:pPr>
    <w:rPr>
      <w:rFonts w:ascii="Tahoma" w:hAnsi="Tahoma"/>
      <w:kern w:val="2"/>
      <w:sz w:val="21"/>
    </w:rPr>
  </w:style>
  <w:style w:type="paragraph" w:styleId="11">
    <w:name w:val="List 2"/>
    <w:basedOn w:val="1"/>
    <w:qFormat/>
    <w:uiPriority w:val="0"/>
    <w:pPr>
      <w:ind w:left="100" w:leftChars="200" w:hanging="200" w:hangingChars="200"/>
      <w:contextualSpacing/>
    </w:pPr>
  </w:style>
  <w:style w:type="paragraph" w:styleId="12">
    <w:name w:val="Plain Text"/>
    <w:basedOn w:val="1"/>
    <w:link w:val="31"/>
    <w:qFormat/>
    <w:uiPriority w:val="0"/>
    <w:rPr>
      <w:rFonts w:ascii="宋体" w:hAnsi="Courier New" w:cs="Courier New"/>
      <w:szCs w:val="21"/>
    </w:rPr>
  </w:style>
  <w:style w:type="paragraph" w:styleId="13">
    <w:name w:val="Balloon Text"/>
    <w:basedOn w:val="1"/>
    <w:link w:val="43"/>
    <w:semiHidden/>
    <w:unhideWhenUsed/>
    <w:qFormat/>
    <w:uiPriority w:val="99"/>
    <w:rPr>
      <w:sz w:val="18"/>
      <w:szCs w:val="18"/>
    </w:rPr>
  </w:style>
  <w:style w:type="paragraph" w:styleId="14">
    <w:name w:val="footer"/>
    <w:basedOn w:val="1"/>
    <w:link w:val="29"/>
    <w:qFormat/>
    <w:uiPriority w:val="0"/>
    <w:pPr>
      <w:tabs>
        <w:tab w:val="center" w:pos="4153"/>
        <w:tab w:val="right" w:pos="8306"/>
      </w:tabs>
      <w:snapToGrid w:val="0"/>
      <w:jc w:val="left"/>
    </w:pPr>
    <w:rPr>
      <w:sz w:val="18"/>
      <w:szCs w:val="18"/>
    </w:rPr>
  </w:style>
  <w:style w:type="paragraph" w:styleId="15">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qFormat/>
    <w:uiPriority w:val="39"/>
  </w:style>
  <w:style w:type="paragraph" w:styleId="17">
    <w:name w:val="List 5"/>
    <w:basedOn w:val="1"/>
    <w:qFormat/>
    <w:uiPriority w:val="0"/>
    <w:pPr>
      <w:ind w:left="100" w:leftChars="800" w:hanging="200" w:hangingChars="200"/>
      <w:contextualSpacing/>
    </w:pPr>
  </w:style>
  <w:style w:type="paragraph" w:styleId="18">
    <w:name w:val="Body Text 2"/>
    <w:basedOn w:val="1"/>
    <w:link w:val="30"/>
    <w:qFormat/>
    <w:uiPriority w:val="0"/>
    <w:pPr>
      <w:jc w:val="center"/>
    </w:pPr>
    <w:rPr>
      <w:rFonts w:ascii="仿宋_GB2312" w:hAnsi="Arial" w:eastAsia="仿宋_GB2312"/>
      <w:b/>
      <w:bCs/>
      <w:color w:val="000000"/>
      <w:sz w:val="52"/>
    </w:rPr>
  </w:style>
  <w:style w:type="paragraph" w:styleId="19">
    <w:name w:val="List 4"/>
    <w:basedOn w:val="1"/>
    <w:qFormat/>
    <w:uiPriority w:val="0"/>
    <w:pPr>
      <w:ind w:left="100" w:leftChars="600" w:hanging="200" w:hangingChars="200"/>
      <w:contextualSpacing/>
    </w:p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customStyle="1" w:styleId="25">
    <w:name w:val="标题 1 Char"/>
    <w:basedOn w:val="23"/>
    <w:link w:val="5"/>
    <w:qFormat/>
    <w:uiPriority w:val="0"/>
    <w:rPr>
      <w:rFonts w:ascii="仿宋_GB2312" w:hAnsi="Times New Roman" w:eastAsia="仿宋_GB2312" w:cs="Times New Roman"/>
      <w:b/>
      <w:sz w:val="44"/>
      <w:szCs w:val="44"/>
    </w:rPr>
  </w:style>
  <w:style w:type="character" w:customStyle="1" w:styleId="26">
    <w:name w:val="标题 3 Char"/>
    <w:basedOn w:val="23"/>
    <w:link w:val="7"/>
    <w:qFormat/>
    <w:uiPriority w:val="0"/>
    <w:rPr>
      <w:rFonts w:ascii="仿宋_GB2312" w:hAnsi="宋体" w:eastAsia="仿宋_GB2312" w:cs="Times New Roman"/>
      <w:b/>
      <w:sz w:val="28"/>
      <w:szCs w:val="28"/>
    </w:rPr>
  </w:style>
  <w:style w:type="character" w:customStyle="1" w:styleId="27">
    <w:name w:val="标题 2 Char"/>
    <w:basedOn w:val="23"/>
    <w:link w:val="6"/>
    <w:qFormat/>
    <w:uiPriority w:val="0"/>
    <w:rPr>
      <w:rFonts w:ascii="宋体" w:hAnsi="宋体" w:eastAsia="仿宋_GB2312" w:cs="Times New Roman"/>
      <w:b/>
      <w:sz w:val="36"/>
      <w:szCs w:val="28"/>
    </w:rPr>
  </w:style>
  <w:style w:type="character" w:customStyle="1" w:styleId="28">
    <w:name w:val="标题 4 Char"/>
    <w:basedOn w:val="23"/>
    <w:link w:val="8"/>
    <w:qFormat/>
    <w:uiPriority w:val="0"/>
    <w:rPr>
      <w:rFonts w:ascii="宋体" w:hAnsi="宋体" w:eastAsia="宋体" w:cs="Times New Roman"/>
      <w:b/>
      <w:bCs/>
      <w:sz w:val="32"/>
      <w:szCs w:val="32"/>
    </w:rPr>
  </w:style>
  <w:style w:type="character" w:customStyle="1" w:styleId="29">
    <w:name w:val="页脚 Char"/>
    <w:basedOn w:val="23"/>
    <w:link w:val="14"/>
    <w:qFormat/>
    <w:uiPriority w:val="0"/>
    <w:rPr>
      <w:rFonts w:ascii="Times New Roman" w:hAnsi="Times New Roman" w:eastAsia="宋体" w:cs="Times New Roman"/>
      <w:sz w:val="18"/>
      <w:szCs w:val="18"/>
    </w:rPr>
  </w:style>
  <w:style w:type="character" w:customStyle="1" w:styleId="30">
    <w:name w:val="正文文本 2 Char"/>
    <w:basedOn w:val="23"/>
    <w:link w:val="18"/>
    <w:qFormat/>
    <w:uiPriority w:val="0"/>
    <w:rPr>
      <w:rFonts w:ascii="仿宋_GB2312" w:hAnsi="Arial" w:eastAsia="仿宋_GB2312" w:cs="Times New Roman"/>
      <w:b/>
      <w:bCs/>
      <w:color w:val="000000"/>
      <w:sz w:val="52"/>
      <w:szCs w:val="24"/>
    </w:rPr>
  </w:style>
  <w:style w:type="character" w:customStyle="1" w:styleId="31">
    <w:name w:val="纯文本 Char"/>
    <w:basedOn w:val="23"/>
    <w:link w:val="12"/>
    <w:qFormat/>
    <w:uiPriority w:val="0"/>
    <w:rPr>
      <w:rFonts w:ascii="宋体" w:hAnsi="Courier New" w:eastAsia="宋体" w:cs="Courier New"/>
      <w:szCs w:val="21"/>
    </w:rPr>
  </w:style>
  <w:style w:type="paragraph" w:customStyle="1" w:styleId="32">
    <w:name w:val="附表"/>
    <w:basedOn w:val="1"/>
    <w:qFormat/>
    <w:uiPriority w:val="0"/>
    <w:pPr>
      <w:spacing w:beforeLines="50" w:afterLines="50"/>
      <w:outlineLvl w:val="0"/>
    </w:pPr>
    <w:rPr>
      <w:rFonts w:ascii="仿宋_GB2312" w:eastAsia="仿宋_GB2312"/>
      <w:sz w:val="32"/>
      <w:szCs w:val="32"/>
    </w:rPr>
  </w:style>
  <w:style w:type="character" w:customStyle="1" w:styleId="33">
    <w:name w:val="页眉 Char"/>
    <w:basedOn w:val="23"/>
    <w:link w:val="15"/>
    <w:qFormat/>
    <w:uiPriority w:val="0"/>
    <w:rPr>
      <w:rFonts w:ascii="Times New Roman" w:hAnsi="Times New Roman" w:eastAsia="宋体" w:cs="Times New Roman"/>
      <w:sz w:val="18"/>
      <w:szCs w:val="18"/>
    </w:rPr>
  </w:style>
  <w:style w:type="paragraph" w:customStyle="1" w:styleId="34">
    <w:name w:val="Char Char Char Char"/>
    <w:basedOn w:val="16"/>
    <w:qFormat/>
    <w:uiPriority w:val="0"/>
    <w:pPr>
      <w:tabs>
        <w:tab w:val="right" w:leader="dot" w:pos="8777"/>
        <w:tab w:val="right" w:leader="dot" w:pos="9776"/>
      </w:tabs>
      <w:spacing w:line="540" w:lineRule="exact"/>
      <w:jc w:val="center"/>
    </w:pPr>
    <w:rPr>
      <w:rFonts w:ascii="宋体" w:hAnsi="宋体"/>
      <w:b/>
      <w:bCs/>
      <w:caps/>
      <w:sz w:val="24"/>
    </w:rPr>
  </w:style>
  <w:style w:type="character" w:customStyle="1" w:styleId="35">
    <w:name w:val="列出段落 Char"/>
    <w:link w:val="36"/>
    <w:qFormat/>
    <w:locked/>
    <w:uiPriority w:val="34"/>
    <w:rPr>
      <w:szCs w:val="24"/>
    </w:rPr>
  </w:style>
  <w:style w:type="paragraph" w:styleId="36">
    <w:name w:val="List Paragraph"/>
    <w:basedOn w:val="1"/>
    <w:link w:val="35"/>
    <w:qFormat/>
    <w:uiPriority w:val="34"/>
    <w:pPr>
      <w:ind w:firstLine="420" w:firstLineChars="200"/>
    </w:pPr>
    <w:rPr>
      <w:rFonts w:asciiTheme="minorHAnsi" w:hAnsiTheme="minorHAnsi" w:eastAsiaTheme="minorEastAsia" w:cstheme="minorBidi"/>
    </w:rPr>
  </w:style>
  <w:style w:type="character" w:customStyle="1" w:styleId="37">
    <w:name w:val="正文文本 Char"/>
    <w:basedOn w:val="23"/>
    <w:link w:val="3"/>
    <w:qFormat/>
    <w:uiPriority w:val="99"/>
    <w:rPr>
      <w:rFonts w:ascii="Times New Roman" w:hAnsi="Times New Roman" w:eastAsia="宋体" w:cs="Times New Roman"/>
      <w:szCs w:val="24"/>
    </w:rPr>
  </w:style>
  <w:style w:type="paragraph" w:customStyle="1" w:styleId="38">
    <w:name w:val="_Style 3"/>
    <w:basedOn w:val="1"/>
    <w:qFormat/>
    <w:uiPriority w:val="0"/>
    <w:pPr>
      <w:widowControl/>
      <w:ind w:left="720"/>
      <w:contextualSpacing/>
      <w:jc w:val="left"/>
    </w:pPr>
    <w:rPr>
      <w:kern w:val="0"/>
      <w:sz w:val="24"/>
      <w:lang w:eastAsia="en-US" w:bidi="en-US"/>
    </w:rPr>
  </w:style>
  <w:style w:type="paragraph" w:customStyle="1" w:styleId="39">
    <w:name w:val="xl3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0">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character" w:customStyle="1" w:styleId="41">
    <w:name w:val="正文缩进 字符"/>
    <w:qFormat/>
    <w:uiPriority w:val="0"/>
    <w:rPr>
      <w:kern w:val="2"/>
      <w:sz w:val="21"/>
      <w:szCs w:val="24"/>
    </w:rPr>
  </w:style>
  <w:style w:type="paragraph" w:customStyle="1" w:styleId="42">
    <w:name w:val="Default"/>
    <w:qFormat/>
    <w:uiPriority w:val="0"/>
    <w:pPr>
      <w:widowControl w:val="0"/>
      <w:autoSpaceDE w:val="0"/>
      <w:autoSpaceDN w:val="0"/>
      <w:adjustRightInd w:val="0"/>
    </w:pPr>
    <w:rPr>
      <w:rFonts w:ascii="楷体à.ā" w:hAnsi="Calibri" w:eastAsia="楷体à.ā" w:cs="Times New Roman"/>
      <w:color w:val="000000"/>
      <w:kern w:val="0"/>
      <w:sz w:val="24"/>
      <w:szCs w:val="22"/>
      <w:lang w:val="en-US" w:eastAsia="zh-CN" w:bidi="ar-SA"/>
    </w:rPr>
  </w:style>
  <w:style w:type="character" w:customStyle="1" w:styleId="43">
    <w:name w:val="批注框文本 Char"/>
    <w:basedOn w:val="23"/>
    <w:link w:val="13"/>
    <w:semiHidden/>
    <w:qFormat/>
    <w:uiPriority w:val="99"/>
    <w:rPr>
      <w:rFonts w:ascii="Times New Roman" w:hAnsi="Times New Roman" w:eastAsia="宋体" w:cs="Times New Roman"/>
      <w:sz w:val="18"/>
      <w:szCs w:val="18"/>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1206</Words>
  <Characters>6875</Characters>
  <Lines>57</Lines>
  <Paragraphs>16</Paragraphs>
  <TotalTime>12</TotalTime>
  <ScaleCrop>false</ScaleCrop>
  <LinksUpToDate>false</LinksUpToDate>
  <CharactersWithSpaces>8065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2018-09-05T15:47:00Z</dcterms:created>
  <dc:creator>管理员</dc:creator>
  <cp:lastModifiedBy>user</cp:lastModifiedBy>
  <cp:lastPrinted>2023-01-03T22:30:00Z</cp:lastPrinted>
  <dcterms:modified xsi:type="dcterms:W3CDTF">2023-01-04T17:03:15Z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