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1DF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4189342"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招标代理机构选择评分细则表</w:t>
      </w:r>
    </w:p>
    <w:tbl>
      <w:tblPr>
        <w:tblStyle w:val="2"/>
        <w:tblW w:w="8769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89"/>
        <w:gridCol w:w="731"/>
        <w:gridCol w:w="4443"/>
        <w:gridCol w:w="1076"/>
      </w:tblGrid>
      <w:tr w14:paraId="2EFA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27F4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序号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3966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评分因素及权重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D4FD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分值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57BAB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评分标准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F222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备注</w:t>
            </w:r>
          </w:p>
        </w:tc>
      </w:tr>
      <w:tr w14:paraId="09E3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C7AA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1F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  <w:p w14:paraId="410CE43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091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1943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1.投标人按照发展改革委《关于进一步放开建设项目专业服务价格的通知》（发改价格〔2015〕299号）第一条第（三）款规定执行。</w:t>
            </w:r>
          </w:p>
          <w:p w14:paraId="11556E75"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2.投标报价计分方法：以下浮率最高者得分最高，每少下浮一个百分点扣1分;( 不足一个百分点按一个百分点计算)；</w:t>
            </w:r>
          </w:p>
          <w:p w14:paraId="295F9A98"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3.报价下浮超过20%，则报价分值为0分。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D1ADC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4434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BD8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77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招标代理方案40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DF1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35D2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据投标人着重从如何保证招投标的合法合规、公平公正，如何保证招投标工作质量和工作水平方面编制招标代理服务方案。包括但不仅限于如下内容：需求论证组织；招标文件制作质量；招投标程序合法合规；开标过程公平公正；防范围标、串标行为；质疑投诉防范和处理；招标资料收集、保存、移交、协助电子平台项目生成等。</w:t>
            </w:r>
          </w:p>
          <w:p w14:paraId="72F378F5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对方案进行横向比较综合评分，优秀得31-40分，良好得21-30分，一般得11-20分，差得10分，未提供得</w:t>
            </w:r>
            <w:r>
              <w:rPr>
                <w:rFonts w:ascii="仿宋_GB2312" w:hAnsi="仿宋_GB2312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97AF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4A58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3653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D618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执业能力</w:t>
            </w:r>
          </w:p>
          <w:p w14:paraId="6AC55F5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1F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A8A9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1.机构从业人员（10分）：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人及以上得10分，</w:t>
            </w:r>
            <w:r>
              <w:rPr>
                <w:rFonts w:ascii="仿宋_GB2312" w:hAnsi="仿宋_GB2312" w:eastAsia="仿宋_GB2312" w:cs="仿宋_GB2312"/>
                <w:szCs w:val="21"/>
              </w:rPr>
              <w:t>5-9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人得5-9分，4人（含）以下不得分；</w:t>
            </w:r>
          </w:p>
          <w:p w14:paraId="0B9440F1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2.项目负责人配备（5分）：项目负责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人具有本科或以上学历得5分、专科得3分。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3C15E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提供证明材料</w:t>
            </w:r>
          </w:p>
        </w:tc>
      </w:tr>
      <w:tr w14:paraId="31BA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CF4B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0BF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代理业绩</w:t>
            </w:r>
          </w:p>
          <w:p w14:paraId="36BF274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AAC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8979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以近一年内代理业绩为准（时间以投标截止日为准），每提供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个得3分，最高得10分（提供中标通知书或合同等证明材料）。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C9BC4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当年新成立的公司，不提供代理业绩。</w:t>
            </w:r>
          </w:p>
        </w:tc>
      </w:tr>
      <w:tr w14:paraId="1421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8F51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442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投标文件规范性</w:t>
            </w:r>
          </w:p>
          <w:p w14:paraId="0D16D19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1B5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CA09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投标文件制作规范，没有细微偏差情形的得满分；有一项细微偏差扣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分；直到该项分值扣完为止。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58F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</w:tbl>
    <w:p w14:paraId="1B452E7D"/>
    <w:p w14:paraId="4458DA54"/>
    <w:p w14:paraId="7D270169"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各评分专家根据评分标准在评分中可保留小数点后一位数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 w14:paraId="3B2B5826">
      <w:pPr>
        <w:rPr>
          <w:rFonts w:hint="eastAsia" w:ascii="仿宋_GB2312" w:hAnsi="仿宋_GB2312" w:eastAsia="仿宋_GB2312" w:cs="仿宋_GB2312"/>
          <w:szCs w:val="21"/>
        </w:rPr>
      </w:pPr>
    </w:p>
    <w:p w14:paraId="34080A5C">
      <w:pPr>
        <w:rPr>
          <w:rFonts w:hint="eastAsia" w:ascii="仿宋_GB2312" w:hAnsi="仿宋_GB2312" w:eastAsia="仿宋_GB2312" w:cs="仿宋_GB2312"/>
          <w:szCs w:val="21"/>
        </w:rPr>
      </w:pPr>
    </w:p>
    <w:p w14:paraId="1E79BD7E">
      <w:pPr>
        <w:rPr>
          <w:rFonts w:hint="eastAsia" w:ascii="仿宋_GB2312" w:hAnsi="仿宋_GB2312" w:eastAsia="仿宋_GB2312" w:cs="仿宋_GB2312"/>
          <w:szCs w:val="21"/>
        </w:rPr>
      </w:pPr>
    </w:p>
    <w:p w14:paraId="7AE16685">
      <w:pPr>
        <w:spacing w:before="100" w:beforeAutospacing="1" w:after="100" w:afterAutospacing="1"/>
        <w:rPr>
          <w:rFonts w:ascii="仿宋_GB2312" w:eastAsia="仿宋_GB2312"/>
          <w:b/>
          <w:bCs/>
          <w:sz w:val="28"/>
          <w:szCs w:val="28"/>
        </w:rPr>
      </w:pPr>
    </w:p>
    <w:p w14:paraId="2D8011B0"/>
    <w:sectPr>
      <w:pgSz w:w="11907" w:h="16839"/>
      <w:pgMar w:top="312" w:right="1800" w:bottom="4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D2B09"/>
    <w:rsid w:val="7B80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663</Characters>
  <Lines>0</Lines>
  <Paragraphs>0</Paragraphs>
  <TotalTime>1</TotalTime>
  <ScaleCrop>false</ScaleCrop>
  <LinksUpToDate>false</LinksUpToDate>
  <CharactersWithSpaces>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2025-04-21T06:40:00Z</dcterms:created>
  <dc:creator>Administrator</dc:creator>
  <cp:lastModifiedBy>局办公室</cp:lastModifiedBy>
  <dcterms:modified xsi:type="dcterms:W3CDTF">2025-04-30T07:14:37Z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eyJoZGlkIjoiNmVhNzM4YTkwMjA3MDc3NGEwYzRkYjFlNDgzYmY5NDgiLCJ1c2VySWQiOiIxNTYxODczODIxIn0=</vt:lpwstr>
  </property>
  <property fmtid="{D5CDD505-2E9C-101B-9397-08002B2CF9AE}" pid="4" name="ICV">
    <vt:lpwstr>D3BBF8F6C83446FC80282F9DD34DF018_12</vt:lpwstr>
  </property>
</Properties>
</file>